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98" w:rsidRPr="00EF49E2" w:rsidRDefault="008F4398" w:rsidP="008F4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F49E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3</w:t>
      </w:r>
    </w:p>
    <w:p w:rsidR="008F4398" w:rsidRPr="00EF49E2" w:rsidRDefault="008F4398" w:rsidP="008F43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4398" w:rsidRDefault="008F4398" w:rsidP="008F439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</w:rPr>
      </w:pPr>
    </w:p>
    <w:p w:rsidR="008F4398" w:rsidRDefault="008F4398" w:rsidP="008F4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8F4398" w:rsidRDefault="008F4398" w:rsidP="008F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F4398" w:rsidRPr="00AB01BE" w:rsidRDefault="008F4398" w:rsidP="008F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B01BE">
        <w:rPr>
          <w:rFonts w:ascii="Times New Roman" w:eastAsia="Times New Roman" w:hAnsi="Times New Roman" w:cs="Times New Roman"/>
          <w:b/>
          <w:sz w:val="27"/>
          <w:szCs w:val="27"/>
        </w:rPr>
        <w:t xml:space="preserve">Ключевые </w:t>
      </w:r>
    </w:p>
    <w:p w:rsidR="008F4398" w:rsidRDefault="008F4398" w:rsidP="008F43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01BE">
        <w:rPr>
          <w:rFonts w:ascii="Times New Roman" w:eastAsia="Times New Roman" w:hAnsi="Times New Roman" w:cs="Times New Roman"/>
          <w:sz w:val="27"/>
          <w:szCs w:val="27"/>
        </w:rPr>
        <w:t xml:space="preserve">показатели эффективности </w:t>
      </w:r>
      <w:proofErr w:type="gramStart"/>
      <w:r w:rsidRPr="00AB01BE">
        <w:rPr>
          <w:rFonts w:ascii="Times New Roman" w:eastAsia="Times New Roman" w:hAnsi="Times New Roman" w:cs="Times New Roman"/>
          <w:sz w:val="27"/>
          <w:szCs w:val="27"/>
        </w:rPr>
        <w:t>антимонопольного</w:t>
      </w:r>
      <w:proofErr w:type="gramEnd"/>
      <w:r w:rsidRPr="00AB01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B01BE">
        <w:rPr>
          <w:rFonts w:ascii="Times New Roman" w:eastAsia="Times New Roman" w:hAnsi="Times New Roman" w:cs="Times New Roman"/>
          <w:sz w:val="27"/>
          <w:szCs w:val="27"/>
        </w:rPr>
        <w:t>комплаенса</w:t>
      </w:r>
      <w:proofErr w:type="spellEnd"/>
      <w:r w:rsidRPr="00AB01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4398" w:rsidRPr="00AB01BE" w:rsidRDefault="008F4398" w:rsidP="008F43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01BE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>
        <w:rPr>
          <w:rFonts w:ascii="Times New Roman" w:hAnsi="Times New Roman" w:cs="Times New Roman"/>
          <w:sz w:val="27"/>
          <w:szCs w:val="27"/>
        </w:rPr>
        <w:t xml:space="preserve">здравоохранения </w:t>
      </w:r>
      <w:r w:rsidRPr="00AB01BE">
        <w:rPr>
          <w:rFonts w:ascii="Times New Roman" w:hAnsi="Times New Roman" w:cs="Times New Roman"/>
          <w:sz w:val="27"/>
          <w:szCs w:val="27"/>
        </w:rPr>
        <w:t>Республики Мордовия на 2019 год</w:t>
      </w:r>
    </w:p>
    <w:p w:rsidR="008F4398" w:rsidRDefault="008F4398" w:rsidP="008F43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1"/>
        <w:gridCol w:w="6004"/>
        <w:gridCol w:w="3059"/>
        <w:gridCol w:w="1378"/>
        <w:gridCol w:w="3446"/>
      </w:tblGrid>
      <w:tr w:rsidR="008F4398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Ключевой показатель эффективности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(%)</w:t>
            </w:r>
            <w:proofErr w:type="gramEnd"/>
          </w:p>
        </w:tc>
      </w:tr>
      <w:tr w:rsidR="008F4398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Pr="00AB01BE" w:rsidRDefault="008F4398" w:rsidP="008F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проектов нормативных правовых актов</w:t>
            </w:r>
            <w:r w:rsidRPr="0010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которых выявлены риски нарушения антимонопольного законодательства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8F4398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сотрудников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комплаенсу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кадровой работе и делопроизводству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8F4398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нормативных правовых актов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которых выявлены риски нарушения антимонопольного законодательства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отдел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8F4398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снижения количества нарушений антимонопольного законодательства со стороны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сравнению с 2018 годом)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</w:tbl>
    <w:p w:rsidR="008F4398" w:rsidRDefault="008F4398" w:rsidP="008F4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886D5E" w:rsidRDefault="008F4398"/>
    <w:sectPr w:rsidR="00886D5E" w:rsidSect="00EF49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398"/>
    <w:rsid w:val="00261D44"/>
    <w:rsid w:val="00867ED3"/>
    <w:rsid w:val="008F4398"/>
    <w:rsid w:val="00E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2019-11-27T05:12:00Z</dcterms:created>
  <dcterms:modified xsi:type="dcterms:W3CDTF">2019-11-27T05:15:00Z</dcterms:modified>
</cp:coreProperties>
</file>