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emf" ContentType="image/x-emf"/>
  <Default Extension="rtf" ContentType="application/rtf"/>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1"/>
        <w:tblW w:w="0" w:type="dxa"/>
        <w:tblLayout w:type="fixed"/>
        <w:tblCellMar>
          <w:top w:w="0" w:type="dxa"/>
          <w:left w:w="0" w:type="dxa"/>
          <w:bottom w:w="0" w:type="dxa"/>
          <w:right w:w="0" w:type="dxa"/>
        </w:tblCellMar>
        <w:tblLook w:val="04A0"/>
      </w:tblPr>
      <w:tblGrid>
        <w:gridCol w:w="143"/>
        <w:gridCol w:w="287"/>
        <w:gridCol w:w="143"/>
        <w:gridCol w:w="143"/>
        <w:gridCol w:w="144"/>
        <w:gridCol w:w="143"/>
        <w:gridCol w:w="2149"/>
        <w:gridCol w:w="1003"/>
        <w:gridCol w:w="430"/>
        <w:gridCol w:w="860"/>
        <w:gridCol w:w="143"/>
        <w:gridCol w:w="286"/>
        <w:gridCol w:w="574"/>
        <w:gridCol w:w="429"/>
        <w:gridCol w:w="287"/>
        <w:gridCol w:w="287"/>
        <w:gridCol w:w="286"/>
        <w:gridCol w:w="573"/>
        <w:gridCol w:w="144"/>
        <w:gridCol w:w="286"/>
        <w:gridCol w:w="287"/>
        <w:gridCol w:w="286"/>
        <w:gridCol w:w="430"/>
        <w:gridCol w:w="143"/>
        <w:gridCol w:w="573"/>
        <w:gridCol w:w="144"/>
        <w:gridCol w:w="286"/>
        <w:gridCol w:w="144"/>
        <w:gridCol w:w="143"/>
        <w:gridCol w:w="286"/>
        <w:gridCol w:w="717"/>
        <w:gridCol w:w="143"/>
        <w:gridCol w:w="287"/>
        <w:gridCol w:w="716"/>
        <w:gridCol w:w="430"/>
        <w:gridCol w:w="286"/>
        <w:gridCol w:w="430"/>
        <w:gridCol w:w="860"/>
        <w:gridCol w:w="272"/>
        <w:gridCol w:w="15"/>
      </w:tblGrid>
      <w:tr>
        <w:trPr>
          <w:trHeight w:hRule="exact" w:val="1003"/>
        </w:trPr>
        <w:tc>
          <w:tcPr>
            <w:tcW w:w="15618" w:type="dxa"/>
            <w:gridSpan w:val="40"/>
          </w:tcPr>
          <w:p/>
        </w:tc>
      </w:tr>
      <w:tr>
        <w:trPr>
          <w:trHeight w:hRule="exact" w:val="387"/>
        </w:trPr>
        <w:tc>
          <w:tcPr>
            <w:tcW w:w="15618" w:type="dxa"/>
            <w:gridSpan w:val="4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П А С П О Р Т</w:t>
            </w:r>
          </w:p>
        </w:tc>
      </w:tr>
      <w:tr>
        <w:trPr>
          <w:trHeight w:hRule="exact" w:val="43"/>
        </w:trPr>
        <w:tc>
          <w:tcPr>
            <w:tcW w:w="15618" w:type="dxa"/>
            <w:gridSpan w:val="40"/>
          </w:tcPr>
          <w:p/>
        </w:tc>
      </w:tr>
      <w:tr>
        <w:trPr>
          <w:trHeight w:hRule="exact" w:val="387"/>
        </w:trPr>
        <w:tc>
          <w:tcPr>
            <w:tcW w:w="15618" w:type="dxa"/>
            <w:gridSpan w:val="40"/>
            <w:vAlign w:val="center"/>
            <w:shd w:val="clear" w:color="auto" w:fill="auto"/>
          </w:tcPr>
          <w:p>
            <w:pPr>
              <w:spacing w:line="230"/>
              <w:jc w:val="center"/>
              <w:rPr>
                <w:rFonts w:ascii="Times New Roman" w:hAnsi="Times New Roman" w:eastAsia="Times New Roman" w:cs="Times New Roman"/>
                <w:b/>
                <w:color w:val="000000"/>
                <w:sz w:val="28"/>
                <w:spacing w:val="-2"/>
              </w:rPr>
            </w:pPr>
            <w:r>
              <w:rPr>
                <w:rFonts w:ascii="Times New Roman" w:hAnsi="Times New Roman" w:eastAsia="Times New Roman" w:cs="Times New Roman"/>
                <w:b/>
                <w:color w:val="000000"/>
                <w:sz w:val="28"/>
                <w:spacing w:val="-2"/>
              </w:rPr>
              <w:t xml:space="preserve">регионального проекта</w:t>
            </w:r>
          </w:p>
        </w:tc>
      </w:tr>
      <w:tr>
        <w:trPr>
          <w:trHeight w:hRule="exact" w:val="43"/>
        </w:trPr>
        <w:tc>
          <w:tcPr>
            <w:tcW w:w="15618" w:type="dxa"/>
            <w:gridSpan w:val="40"/>
          </w:tcPr>
          <w:p/>
        </w:tc>
      </w:tr>
      <w:tr>
        <w:trPr>
          <w:trHeight w:hRule="exact" w:val="644"/>
        </w:trPr>
        <w:tc>
          <w:tcPr>
            <w:tcW w:w="15618" w:type="dxa"/>
            <w:gridSpan w:val="40"/>
            <w:tcMar>
              <w:left w:w="72" w:type="dxa"/>
              <w:right w:w="72" w:type="dxa"/>
            </w:tcMar>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Формирование системы мотивации граждан к здоровому образу жизни, включая здоровое питание и отказ от вредных привычек  (Республика Мордовия)</w:t>
            </w:r>
          </w:p>
        </w:tc>
      </w:tr>
      <w:tr>
        <w:trPr>
          <w:trHeight w:hRule="exact" w:val="717"/>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1. Основные положения</w:t>
            </w:r>
          </w:p>
        </w:tc>
      </w:tr>
      <w:tr>
        <w:trPr>
          <w:trHeight w:hRule="exact" w:val="716"/>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федерального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Формирование системы мотивации граждан к здоровому образу жизни, включая здоровое питание и отказ от вредных привычек </w:t>
            </w:r>
          </w:p>
        </w:tc>
      </w:tr>
      <w:tr>
        <w:trPr>
          <w:trHeight w:hRule="exact" w:val="717"/>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Краткое наименование регионального</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проекта</w:t>
            </w:r>
          </w:p>
        </w:tc>
        <w:tc>
          <w:tcPr>
            <w:tcW w:w="4728" w:type="dxa"/>
            <w:gridSpan w:val="13"/>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Укрепление общественного здоровья (Республика Мордовия)</w:t>
            </w:r>
          </w:p>
        </w:tc>
        <w:tc>
          <w:tcPr>
            <w:tcW w:w="3009" w:type="dxa"/>
            <w:gridSpan w:val="10"/>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 начала и</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окончания проекта</w:t>
            </w:r>
          </w:p>
        </w:tc>
        <w:tc>
          <w:tcPr>
            <w:tcW w:w="3296" w:type="dxa"/>
            <w:gridSpan w:val="8"/>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01.01.2019 - 31.12.2024</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Куратор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Лотванова Галина Алексеевна, Заместитель Председателя Правительства Республики Мордовия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Олег Валентинович, Министр здравоохранения Республики Мордовия</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Наталья Евгеньевна, Заместитель Министра</w:t>
            </w:r>
          </w:p>
        </w:tc>
      </w:tr>
      <w:tr>
        <w:trPr>
          <w:trHeight w:hRule="exact" w:val="573"/>
        </w:trPr>
        <w:tc>
          <w:tcPr>
            <w:tcW w:w="4585" w:type="dxa"/>
            <w:gridSpan w:val="9"/>
            <w:tcMar>
              <w:lef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Связь с государственными программами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субъекта Российской Федерации</w:t>
            </w:r>
          </w:p>
        </w:tc>
        <w:tc>
          <w:tcPr>
            <w:tcW w:w="11033" w:type="dxa"/>
            <w:gridSpan w:val="31"/>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Государственная программа развития здравоохранения Республики Мордовия</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r>
      <w:tr>
        <w:trPr>
          <w:trHeight w:hRule="exact" w:val="430"/>
        </w:trPr>
        <w:tc>
          <w:tcPr>
            <w:tcW w:w="15618" w:type="dxa"/>
            <w:gridSpan w:val="40"/>
          </w:tcPr>
          <w:p/>
        </w:tc>
      </w:tr>
      <w:tr>
        <w:trPr>
          <w:trHeight w:hRule="exact" w:val="143"/>
        </w:trPr>
        <w:tc>
          <w:tcPr>
            <w:tcW w:w="143" w:type="dxa"/>
            <w:vAlign w:val="center"/>
            <w:shd w:val="clear" w:color="auto" w:fill="auto"/>
          </w:tcPr>
          <w:p>
            <w:pPr>
              <w:spacing w:line="230"/>
              <w:jc w:val="center"/>
              <w:rPr>
                <w:rFonts w:ascii="Times New Roman" w:hAnsi="Times New Roman" w:eastAsia="Times New Roman" w:cs="Times New Roman"/>
                <w:color w:val="000000"/>
                <w:sz w:val="28"/>
                <w:spacing w:val="-2"/>
              </w:rPr>
            </w:pPr>
          </w:p>
        </w:tc>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615" w:type="dxa"/>
            <w:gridSpan w:val="34"/>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287"/>
        </w:trPr>
        <w:tc>
          <w:tcPr>
            <w:tcW w:w="14471" w:type="dxa"/>
            <w:gridSpan w:val="37"/>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2. Цель и показатели регионального проекта</w:t>
            </w:r>
          </w:p>
        </w:tc>
        <w:tc>
          <w:tcPr>
            <w:tcW w:w="860" w:type="dxa"/>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1</w:t>
            </w:r>
          </w:p>
        </w:tc>
        <w:tc>
          <w:tcPr>
            <w:tcW w:w="287" w:type="dxa"/>
            <w:gridSpan w:val="2"/>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143"/>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Увеличение доли граждан, ведущих здоровый образ жизни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Розничные продажи алкогольной продукции на душу населения (в литрах этанола)</w:t>
            </w:r>
          </w:p>
        </w:tc>
      </w:tr>
      <w:tr>
        <w:trPr>
          <w:trHeight w:hRule="exact" w:val="975"/>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Розничные продажи алкогольной продукции на душу населения (в литрах этанола), л 100% спирта</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31.12.2016</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5,7000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5,5000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5,4000</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Увеличение доли граждан, ведущих здоровый образ жизни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женщин в возрасте  16-54 лет </w:t>
            </w:r>
          </w:p>
        </w:tc>
      </w:tr>
      <w:tr>
        <w:trPr>
          <w:trHeight w:hRule="exact" w:val="717"/>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женщин в возрасте  16-54 лет , кг/м2</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160,3000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156,9000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154,6000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152,3000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150,0000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147,0000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143,9000</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Увеличение доли граждан, ведущих здоровый образ жизни (Республика Мордовия)</w:t>
            </w:r>
          </w:p>
        </w:tc>
      </w:tr>
      <w:tr>
        <w:trPr>
          <w:trHeight w:hRule="exact" w:val="430"/>
        </w:trPr>
        <w:tc>
          <w:tcPr>
            <w:tcW w:w="573" w:type="dxa"/>
            <w:gridSpan w:val="3"/>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012"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показателя</w:t>
            </w:r>
          </w:p>
        </w:tc>
        <w:tc>
          <w:tcPr>
            <w:tcW w:w="1863"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Тип показателя</w:t>
            </w:r>
          </w:p>
        </w:tc>
        <w:tc>
          <w:tcPr>
            <w:tcW w:w="2292"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Базовое значение</w:t>
            </w:r>
          </w:p>
        </w:tc>
        <w:tc>
          <w:tcPr>
            <w:tcW w:w="6878" w:type="dxa"/>
            <w:gridSpan w:val="2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Период, год</w:t>
            </w:r>
          </w:p>
        </w:tc>
      </w:tr>
      <w:tr>
        <w:trPr>
          <w:trHeight w:hRule="exact" w:val="430"/>
        </w:trPr>
        <w:tc>
          <w:tcPr>
            <w:tcW w:w="573" w:type="dxa"/>
            <w:gridSpan w:val="3"/>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012"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значение</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дата</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r>
      <w:tr>
        <w:trPr>
          <w:trHeight w:hRule="exact" w:val="286"/>
        </w:trPr>
        <w:tc>
          <w:tcPr>
            <w:tcW w:w="57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012"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86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003"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28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14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14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1146"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c>
          <w:tcPr>
            <w:tcW w:w="1147"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44"/>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мужчин в возрасте  16-59 лет </w:t>
            </w:r>
          </w:p>
        </w:tc>
      </w:tr>
      <w:tr>
        <w:trPr>
          <w:trHeight w:hRule="exact" w:val="717"/>
        </w:trPr>
        <w:tc>
          <w:tcPr>
            <w:tcW w:w="57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4012"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мужчин в возрасте  16-59 лет , кг/м2</w:t>
            </w:r>
          </w:p>
        </w:tc>
        <w:tc>
          <w:tcPr>
            <w:tcW w:w="1863"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Основной показатель</w:t>
            </w:r>
          </w:p>
        </w:tc>
        <w:tc>
          <w:tcPr>
            <w:tcW w:w="1003"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680,7000</w:t>
            </w:r>
          </w:p>
        </w:tc>
        <w:tc>
          <w:tcPr>
            <w:tcW w:w="1289"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31.12.2017</w:t>
            </w:r>
          </w:p>
        </w:tc>
        <w:tc>
          <w:tcPr>
            <w:tcW w:w="1146"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631,0000</w:t>
            </w:r>
          </w:p>
        </w:tc>
        <w:tc>
          <w:tcPr>
            <w:tcW w:w="1147" w:type="dxa"/>
            <w:gridSpan w:val="4"/>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599,6000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568,1000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541,3000</w:t>
            </w:r>
          </w:p>
        </w:tc>
        <w:tc>
          <w:tcPr>
            <w:tcW w:w="1146"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518,1000</w:t>
            </w:r>
          </w:p>
        </w:tc>
        <w:tc>
          <w:tcPr>
            <w:tcW w:w="1147" w:type="dxa"/>
            <w:gridSpan w:val="3"/>
            <w:tcMar>
              <w:top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491,5000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r>
      <w:tr>
        <w:trPr>
          <w:trHeight w:hRule="exact" w:val="429"/>
        </w:trPr>
        <w:tc>
          <w:tcPr>
            <w:tcW w:w="15618" w:type="dxa"/>
            <w:gridSpan w:val="40"/>
          </w:tcPr>
          <w:p/>
        </w:tc>
      </w:tr>
      <w:tr>
        <w:trPr>
          <w:trHeight w:hRule="exact" w:val="574"/>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3. Результаты регионального проекта</w:t>
            </w:r>
          </w:p>
        </w:tc>
      </w:tr>
      <w:tr>
        <w:trPr>
          <w:trHeight w:hRule="exact" w:val="429"/>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716"/>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Задача национального проекта (справочно из паспорта федерального проекта): Формирование системы мотивации граждан к здоровому образу жизни, включая здоровое питание и отказ от вредных привычек </w:t>
            </w:r>
            <w:r>
              <w:rPr>
                <w:color w:val="FFFFFF"/>
                <w:sz w:val="7.5"/>
                <w:szCs w:val="7.5"/>
                <w:rFonts w:ascii="Times New Roman" w:hAnsi="Times New Roman" w:eastAsia="Times New Roman" w:cs="Times New Roman"/>
                <w:spacing w:val="-2"/>
              </w:rPr>
              <w:t xml:space="preserve">0</w:t>
            </w:r>
          </w:p>
          <w:p/>
        </w:tc>
      </w:tr>
      <w:tr>
        <w:trPr>
          <w:trHeight w:hRule="exact" w:val="229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Субъекты Российской Федерации обеспечили внедрение модели организации и функционирования центров общественного здоровья.</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Во всех (85)субъектах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на базе центров здоровья и центров медицинской профилактики первичных (межмуниципальные) и региональных центров общественного здоровья, внедрение новой учетно-отчетной документации.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01.01.2021</w:t>
            </w:r>
          </w:p>
          <w:p/>
        </w:tc>
      </w:tr>
      <w:tr>
        <w:trPr>
          <w:trHeight w:hRule="exact" w:val="110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Субъекты Российской Федерации обеспечили внедрение модели организации и функционирования центров общественного здоровья.</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Во всех (85)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 </w:t>
            </w:r>
          </w:p>
          <w:p/>
        </w:tc>
      </w:tr>
      <w:tr>
        <w:trPr>
          <w:trHeight w:hRule="exact" w:val="1447"/>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15.12.2020 - 1 шт</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15.12.2021 - 45 шт</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15.12.2022 - 60 шт</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15.12.2024 - 1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2551"/>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Муниципальные образования внедрили муниципальные программы общественного здоровья</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 В 100%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15.12.2024</w:t>
            </w:r>
          </w:p>
          <w:p/>
        </w:tc>
      </w:tr>
      <w:tr>
        <w:trPr>
          <w:trHeight w:hRule="exact" w:val="859"/>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внедрили муниципальные программы общественного здоровья</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 В 100% муниципальных образований на основании 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 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 </w:t>
            </w:r>
          </w:p>
          <w:p/>
        </w:tc>
      </w:tr>
      <w:tr>
        <w:trPr>
          <w:trHeight w:hRule="exact" w:val="2751"/>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15.12.2020 - 20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15.12.2021 - 40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15.12.2022 - 60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15.12.2023 - 80 ПРОЦ</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15.12.2024 - 100 ПРОЦ</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193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902" w:type="dxa"/>
            <w:gridSpan w:val="3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Внедрены корпоративные программы, содержащие наилучшие практики по укреплению здоровья работников</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Характеристика результата федерального проекта (справочно из паспорта федерального проекта): По итогам пилотного проекта будет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дляработодателей внедрять корпоративные программы по укреплению здоровья работников. 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 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Примеры наилучших результатов по проведению корпоративных программ будут опубликованы на сайте Минздрава России, интернет-сайтах органов исполнительной власти пилотных регионов и в средствах массовой информации в рамках информационно-коммуникационной кампании.</w:t>
            </w:r>
          </w:p>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Срок (справочно из паспорта федерального проекта): 15.12.2024</w:t>
            </w:r>
          </w:p>
          <w:p/>
        </w:tc>
      </w:tr>
      <w:tr>
        <w:trPr>
          <w:trHeight w:hRule="exact" w:val="1934"/>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4902" w:type="dxa"/>
            <w:gridSpan w:val="36"/>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860"/>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Внедрены корпоративные программы, содержащие наилучшие практики по укреплению здоровья работников</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15.12.2023</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По итогам пилотного проекта будет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для работодателей внедрять корпоративные программы по укреплению здоровья работников. 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 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Примеры наилучших результатов по проведению корпоративных программ будут опубликованы на сайте Минздрава России, интернет-сайтах органов исполнительной власти пилотных регионов и в средствах массовой информации в рамках информационно-коммуникационной кампании. </w:t>
            </w:r>
          </w:p>
          <w:p/>
        </w:tc>
      </w:tr>
      <w:tr>
        <w:trPr>
          <w:trHeight w:hRule="exact" w:val="2865"/>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restart"/>
            <w:tcMar>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15.12.2020 - 24 шт</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15.12.2021 - 1 шт</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15.12.2022 - 60 шт</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15.12.2023 - 75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33"/>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left w:val="single" w:sz="5" w:space="0" w:color="000000"/>
              <w:bottom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1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vMerge/>
            <w:vAlign w:val="center"/>
            <w:tcBorders>
              <w:left w:val="single" w:sz="5" w:space="0" w:color="000000"/>
              <w:bottom w:val="single" w:sz="5" w:space="0" w:color="000000"/>
              <w:right w:val="single" w:sz="5" w:space="0" w:color="000000"/>
            </w:tcBorders>
            <w:shd w:val="clear" w:color="auto" w:fill="auto"/>
          </w:tcP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задачи, результата</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Характеристика результата</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7021" w:type="dxa"/>
            <w:gridSpan w:val="1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6305" w:type="dxa"/>
            <w:gridSpan w:val="1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r>
      <w:tr>
        <w:trPr>
          <w:trHeight w:hRule="exact" w:val="430"/>
        </w:trPr>
        <w:tc>
          <w:tcPr>
            <w:tcW w:w="15618" w:type="dxa"/>
            <w:gridSpan w:val="4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7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902" w:type="dxa"/>
            <w:gridSpan w:val="3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Собственные результаты</w:t>
            </w:r>
          </w:p>
          <w:p/>
        </w:tc>
      </w:tr>
      <w:tr>
        <w:trPr>
          <w:trHeight w:hRule="exact" w:val="1103"/>
        </w:trPr>
        <w:tc>
          <w:tcPr>
            <w:tcW w:w="716" w:type="dxa"/>
            <w:gridSpan w:val="4"/>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4.1</w:t>
            </w:r>
          </w:p>
        </w:tc>
        <w:tc>
          <w:tcPr>
            <w:tcW w:w="7021" w:type="dxa"/>
            <w:gridSpan w:val="13"/>
            <w:tcMar>
              <w:left w:w="72" w:type="dxa"/>
              <w:right w:w="72" w:type="dxa"/>
            </w:tcMar>
            <w:tcBorders>
              <w:top w:val="single" w:sz="5" w:space="0" w:color="000000"/>
              <w:left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Субъекты Российской Федерации обеспечили внедрение модели организации и функционирования центров общественного здоровья.</w:t>
            </w:r>
          </w:p>
        </w:tc>
        <w:tc>
          <w:tcPr>
            <w:tcW w:w="1576" w:type="dxa"/>
            <w:gridSpan w:val="5"/>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6305" w:type="dxa"/>
            <w:gridSpan w:val="1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Во всех (85) 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 </w:t>
            </w:r>
          </w:p>
          <w:p/>
        </w:tc>
      </w:tr>
      <w:tr>
        <w:trPr>
          <w:trHeight w:hRule="exact" w:val="1448"/>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7021" w:type="dxa"/>
            <w:gridSpan w:val="13"/>
            <w:tcMar>
              <w:top w:w="72" w:type="dxa"/>
              <w:left w:w="287" w:type="dxa"/>
              <w:right w:w="72" w:type="dxa"/>
            </w:tcMar>
            <w:vAlign w:val="center"/>
            <w:tcBorders>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 15.12.2024 - 1 шт</w:t>
            </w:r>
          </w:p>
        </w:tc>
        <w:tc>
          <w:tcPr>
            <w:tcW w:w="1576"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6305" w:type="dxa"/>
            <w:gridSpan w:val="1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Pr>
          <w:p/>
        </w:tc>
      </w:tr>
      <w:tr>
        <w:trPr>
          <w:trHeight w:hRule="exact" w:val="144"/>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tc>
      </w:tr>
      <w:tr>
        <w:trPr>
          <w:trHeight w:hRule="exact" w:val="429"/>
        </w:trPr>
        <w:tc>
          <w:tcPr>
            <w:tcW w:w="15618" w:type="dxa"/>
            <w:gridSpan w:val="4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4. Финансовое обеспечение реализации регионального проекта</w:t>
            </w:r>
          </w:p>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1</w:t>
            </w:r>
          </w:p>
          <w:p/>
        </w:tc>
        <w:tc>
          <w:tcPr>
            <w:tcW w:w="14615" w:type="dxa"/>
            <w:gridSpan w:val="3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Результат федерального проекта (справочно из паспорта федерального проекта): </w:t>
            </w:r>
            <w:r>
              <w:rPr>
                <w:color w:val="FFFFFF"/>
                <w:sz w:val="7.5"/>
                <w:szCs w:val="7.5"/>
                <w:rFonts w:ascii="Times New Roman" w:hAnsi="Times New Roman" w:eastAsia="Times New Roman" w:cs="Times New Roman"/>
                <w:spacing w:val="-2"/>
              </w:rPr>
              <w:t xml:space="preserve">0</w:t>
            </w:r>
          </w:p>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Субъекты Российской Федерации обеспечили внедрение модели организации и функционирования центров общественного здоровья.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39,80</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фондов Российской Федерации и их 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 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39,80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39,80</w:t>
            </w:r>
          </w:p>
        </w:tc>
      </w:tr>
      <w:tr>
        <w:trPr>
          <w:trHeight w:hRule="exact" w:val="97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1.1.3.2</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247"/>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1.1.3.3</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44"/>
        </w:trPr>
        <w:tc>
          <w:tcPr>
            <w:tcW w:w="100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444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 по региональному проекту, в том числе:</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39,80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430"/>
        </w:trPr>
        <w:tc>
          <w:tcPr>
            <w:tcW w:w="15618" w:type="dxa"/>
            <w:gridSpan w:val="40"/>
            <w:tcBorders>
              <w:bottom w:val="single" w:sz="5" w:space="0" w:color="000000"/>
            </w:tcBorders>
          </w:tcPr>
          <w:p/>
        </w:tc>
      </w:tr>
      <w:tr>
        <w:trPr>
          <w:trHeight w:hRule="exact" w:val="430"/>
        </w:trPr>
        <w:tc>
          <w:tcPr>
            <w:tcW w:w="1003" w:type="dxa"/>
            <w:gridSpan w:val="6"/>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4442"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и источники финансирования</w:t>
            </w:r>
          </w:p>
        </w:tc>
        <w:tc>
          <w:tcPr>
            <w:tcW w:w="8596" w:type="dxa"/>
            <w:gridSpan w:val="2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Объем финансового обеспечения по годам реализации (млн. рублей)</w:t>
            </w:r>
          </w:p>
        </w:tc>
        <w:tc>
          <w:tcPr>
            <w:tcW w:w="1577"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Всего</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(млн. рублей)</w:t>
            </w:r>
          </w:p>
        </w:tc>
      </w:tr>
      <w:tr>
        <w:trPr>
          <w:trHeight w:hRule="exact" w:val="287"/>
        </w:trPr>
        <w:tc>
          <w:tcPr>
            <w:tcW w:w="1003" w:type="dxa"/>
            <w:gridSpan w:val="6"/>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4442"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2019</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2020</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2021</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2022</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2023</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2024</w:t>
            </w:r>
          </w:p>
        </w:tc>
        <w:tc>
          <w:tcPr>
            <w:tcW w:w="1577"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100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444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432"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143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43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433"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1432"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1577"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федеральный бюджет (в т.ч. межбюджетные трансферты бюджету) (Республика Мордовия)</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государственных внебюджетных </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фондов Российской Федерации и их</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территориальных фондов</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716"/>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консолидированный бюджет субъекта</w:t>
            </w:r>
          </w:p>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Российской Федерации, в т.ч.:</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39,80</w:t>
            </w:r>
          </w:p>
        </w:tc>
      </w:tr>
      <w:tr>
        <w:trPr>
          <w:trHeight w:hRule="exact" w:val="574"/>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7,80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39,80</w:t>
            </w:r>
          </w:p>
        </w:tc>
      </w:tr>
      <w:tr>
        <w:trPr>
          <w:trHeight w:hRule="exact" w:val="1003"/>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межбюджетные трансферты бюджета субъекта Российской Федерации бюджетам муниципальных образований</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1002"/>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бюджеты муниципальных образований (без учета межбюджетных трансфертов из бюджета субъекта Российской Федерации)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574"/>
        </w:trPr>
        <w:tc>
          <w:tcPr>
            <w:tcW w:w="544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внебюджетные источники</w:t>
            </w:r>
          </w:p>
        </w:tc>
        <w:tc>
          <w:tcPr>
            <w:tcW w:w="1432"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3"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432"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c>
          <w:tcPr>
            <w:tcW w:w="1577"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0,00</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w:t>
            </w:r>
          </w:p>
        </w:tc>
      </w:tr>
      <w:tr>
        <w:trPr>
          <w:trHeight w:hRule="exact" w:val="430"/>
        </w:trPr>
        <w:tc>
          <w:tcPr>
            <w:tcW w:w="15618" w:type="dxa"/>
            <w:gridSpan w:val="40"/>
          </w:tcPr>
          <w:p/>
        </w:tc>
      </w:tr>
      <w:tr>
        <w:trPr>
          <w:trHeight w:hRule="exact" w:val="144"/>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tc>
      </w:tr>
      <w:tr>
        <w:trPr>
          <w:trHeight w:hRule="exact" w:val="429"/>
        </w:trPr>
        <w:tc>
          <w:tcPr>
            <w:tcW w:w="15618" w:type="dxa"/>
            <w:gridSpan w:val="40"/>
            <w:vAlign w:val="center"/>
            <w:tcBorders>
              <w:bottom w:val="single" w:sz="5" w:space="0" w:color="000000"/>
            </w:tcBorders>
            <w:shd w:val="clear" w:color="auto" w:fill="auto"/>
          </w:tcPr>
          <w:p>
            <w:pPr>
              <w:rPr>
                <w:rFonts w:ascii="Times New Roman" w:hAnsi="Times New Roman" w:eastAsia="Times New Roman" w:cs="Times New Roman"/>
                <w:color w:val="000000"/>
                <w:sz w:val="28"/>
                <w:spacing w:val="-2"/>
              </w:rPr>
              <w:spacing w:line="230"/>
              <w:jc w:val="center"/>
            </w:pPr>
            <w:r>
              <w:rPr>
                <w:sz w:val="28"/>
                <w:szCs w:val="28"/>
                <w:rFonts w:ascii="Times New Roman" w:hAnsi="Times New Roman" w:eastAsia="Times New Roman" w:cs="Times New Roman"/>
                <w:spacing w:val="-2"/>
              </w:rPr>
              <w:t xml:space="preserve">5. Участники регионального проекта</w:t>
            </w:r>
          </w:p>
          <w:p/>
        </w:tc>
      </w:tr>
      <w:tr>
        <w:trPr>
          <w:trHeight w:hRule="exact" w:val="574"/>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Роль в региональном проекте</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Фамилия, инициалы</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Должность</w:t>
            </w:r>
          </w:p>
        </w:tc>
        <w:tc>
          <w:tcPr>
            <w:tcW w:w="2866"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Непосредственный руководитель</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Занятость в проекте</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(процентов)</w:t>
            </w: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009"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295" w:type="dxa"/>
            <w:gridSpan w:val="10"/>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866" w:type="dxa"/>
            <w:gridSpan w:val="9"/>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293"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r>
      <w:tr>
        <w:trPr>
          <w:trHeight w:hRule="exact" w:val="86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Руководитель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Сушков В.Ф.</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85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Администратор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Субъекты Российской Федерации обеспечили внедрение модели организации и функционирования центров общественного здоровья.</w:t>
            </w:r>
          </w:p>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Сушков В.Ф.</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Субъекты Российской Федерации обеспечили внедрение модели организации и функционирования центров общественного здоровья.</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7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 здравоохранения Республики Мордовия</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Сушков В.Ф.</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29"/>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Муниципальные образования внедрили муниципальные программы общественного здоровья</w:t>
            </w:r>
          </w:p>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Внедрены корпоративные программы, содержащие наилучшие практики по укреплению здоровья работников</w:t>
            </w:r>
          </w:p>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достижение результата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Н.Е.</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Маркин О.В.</w:t>
            </w: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r>
      <w:tr>
        <w:trPr>
          <w:trHeight w:hRule="exact" w:val="430"/>
        </w:trPr>
        <w:tc>
          <w:tcPr>
            <w:tcW w:w="15618" w:type="dxa"/>
            <w:gridSpan w:val="40"/>
            <w:tcBorders>
              <w:bottom w:val="single" w:sz="5" w:space="0" w:color="000000"/>
            </w:tcBorders>
          </w:tcPr>
          <w:p/>
        </w:tc>
      </w:tr>
      <w:tr>
        <w:trPr>
          <w:trHeight w:hRule="exact" w:val="124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9</w:t>
            </w:r>
          </w:p>
        </w:tc>
        <w:tc>
          <w:tcPr>
            <w:tcW w:w="3439"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Участник регионального проекта</w:t>
            </w:r>
          </w:p>
        </w:tc>
        <w:tc>
          <w:tcPr>
            <w:tcW w:w="3009"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Тимошкина  . .</w:t>
            </w:r>
          </w:p>
        </w:tc>
        <w:tc>
          <w:tcPr>
            <w:tcW w:w="3295" w:type="dxa"/>
            <w:gridSpan w:val="10"/>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Заведующий «Центром здоровья» ГБУЗ Республики Мордовия «Поликлиника №4»</w:t>
            </w:r>
          </w:p>
        </w:tc>
        <w:tc>
          <w:tcPr>
            <w:tcW w:w="2866" w:type="dxa"/>
            <w:gridSpan w:val="9"/>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293"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100</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r>
      <w:tr>
        <w:trPr>
          <w:trHeight w:hRule="exact" w:val="430"/>
        </w:trPr>
        <w:tc>
          <w:tcPr>
            <w:tcW w:w="15618" w:type="dxa"/>
            <w:gridSpan w:val="40"/>
          </w:tcPr>
          <w:p/>
        </w:tc>
      </w:tr>
      <w:tr>
        <w:trPr>
          <w:trHeight w:hRule="exact" w:val="559"/>
        </w:trPr>
        <w:tc>
          <w:tcPr>
            <w:tcW w:w="15618" w:type="dxa"/>
            <w:gridSpan w:val="40"/>
            <w:vAlign w:val="center"/>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6. Дополнительная информация</w:t>
            </w:r>
          </w:p>
        </w:tc>
      </w:tr>
      <w:tr>
        <w:trPr>
          <w:trHeight w:hRule="exact" w:val="14"/>
        </w:trPr>
        <w:tc>
          <w:tcPr>
            <w:tcW w:w="15603" w:type="dxa"/>
            <w:gridSpan w:val="39"/>
            <w:tcBorders>
              <w:bottom w:val="single" w:sz="5" w:space="0" w:color="000000"/>
            </w:tcBorders>
          </w:tcPr>
          <w:p/>
        </w:tc>
        <w:tc>
          <w:tcPr>
            <w:tcW w:w="15" w:type="dxa"/>
          </w:tcPr>
          <w:p/>
        </w:tc>
      </w:tr>
      <w:tr>
        <w:trPr>
          <w:trHeight w:hRule="exact" w:val="2865"/>
        </w:trPr>
        <w:tc>
          <w:tcPr>
            <w:tcW w:w="15603" w:type="dxa"/>
            <w:gridSpan w:val="39"/>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w:t>
            </w: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В рамках регионального проекта </w:t>
            </w:r>
            <w:r>
              <w:rPr>
                <w:sz w:val="16"/>
                <w:szCs w:val="16"/>
                <w:rFonts w:ascii="Times New Roman" w:hAnsi="Times New Roman" w:eastAsia="Times New Roman" w:cs="Times New Roman"/>
                <w:spacing w:val="-2"/>
              </w:rPr>
              <w:t xml:space="preserve">«Формирование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w:t>
            </w:r>
            <w:r>
              <w:rPr>
                <w:sz w:val="16"/>
                <w:szCs w:val="16"/>
                <w:rFonts w:ascii="Times New Roman" w:hAnsi="Times New Roman" w:eastAsia="Times New Roman" w:cs="Times New Roman"/>
                <w:spacing w:val="-2"/>
              </w:rPr>
              <w:t xml:space="preserve">объединены меры, направленные на формирование системы мотивации граждан к ведению здорового образа жизни (далее – ЗОЖ).</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Предусматриваемые проектом мероприятия носят комплексный характер и включают меры по дальнейшему ограничению потребления алкоголя, защите от табачного дыма, ликвидации микронутриентной недостаточности, сокращение потребления соли и сахара).</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Основной задачей регионального проекта является формирование среды, способствующей ведению гражданами ЗОЖ, включая создание на базе существующих в Республике Мордовия центров здоровья и республиканского центра медицинской профилактики центров общественного здоровья.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Центры общественного здоровья должны стать центральным элементов в координации программ популяционной профилактики, реализуемых с участием представителей муниципальных властей, крупного и среднего бизнеса, волонтерских движений и некоммерческих организаций, специализирующихся в сфере общественного здоровья и ЗОЖ.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Информационная поддержка будет осуществляться в рамках ежегодной информационно - коммуникационной кампании с охватом не менее 70% аудитории граждан старше 12 лет по основным каналам: телевидение, радио и в информационно -телекоммуникационной сети «Интернет» с использованием разработанных на федеральном уровне дополнительно не менее 15 рекламно - информационных материалов (в </w:t>
            </w:r>
            <w:r>
              <w:rPr>
                <w:sz w:val="16"/>
                <w:szCs w:val="16"/>
                <w:rFonts w:ascii="Times New Roman" w:hAnsi="Times New Roman" w:eastAsia="Times New Roman" w:cs="Times New Roman"/>
                <w:spacing w:val="-2"/>
              </w:rPr>
              <w:t xml:space="preserve">2021 г</w:t>
            </w:r>
            <w:r>
              <w:rPr>
                <w:sz w:val="16"/>
                <w:szCs w:val="16"/>
                <w:rFonts w:ascii="Times New Roman" w:hAnsi="Times New Roman" w:eastAsia="Times New Roman" w:cs="Times New Roman"/>
                <w:spacing w:val="-2"/>
              </w:rPr>
              <w:t xml:space="preserve">.), содержание которых будет направлено на позитивное восприятие лицами разных возрастных и социальных групп информации о важности следования принципам ЗОЖ. </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Реализация муниципальных программ общественного здоровья вместе с внедрением корпоративных программ позволит максимально охватить целевую аудиторию трудоспособной части населения, повысив осведомленность граждан о принципах здорового образа жизни.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Увеличение доли лиц, приверженных </w:t>
            </w:r>
            <w:r>
              <w:rPr>
                <w:sz w:val="16"/>
                <w:szCs w:val="16"/>
                <w:rFonts w:ascii="Times New Roman" w:hAnsi="Times New Roman" w:eastAsia="Times New Roman" w:cs="Times New Roman"/>
                <w:spacing w:val="-2"/>
              </w:rPr>
              <w:t xml:space="preserve">ЗОЖ, приведет к снижению заболеваемости и смертности от основных хронических и неинфекционных заболеваний (ХНИЗ) (сердечно-сосудистых, онкологических) и внешних </w:t>
            </w:r>
          </w:p>
          <w:p/>
        </w:tc>
        <w:tc>
          <w:tcPr>
            <w:tcW w:w="15" w:type="dxa"/>
            <w:tcBorders>
              <w:left w:val="single" w:sz="5" w:space="0" w:color="000000"/>
            </w:tcBorders>
          </w:tcPr>
          <w:p/>
        </w:tc>
      </w:tr>
      <w:tr>
        <w:trPr>
          <w:trHeight w:hRule="exact" w:val="2866"/>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92"/>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1991"/>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430"/>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r>
      <w:tr>
        <w:trPr>
          <w:trHeight w:hRule="exact" w:val="430"/>
        </w:trPr>
        <w:tc>
          <w:tcPr>
            <w:tcW w:w="15603" w:type="dxa"/>
            <w:gridSpan w:val="39"/>
            <w:tcBorders>
              <w:bottom w:val="single" w:sz="5" w:space="0" w:color="000000"/>
            </w:tcBorders>
          </w:tcPr>
          <w:p/>
        </w:tc>
        <w:tc>
          <w:tcPr>
            <w:tcW w:w="15" w:type="dxa"/>
          </w:tcPr>
          <w:p/>
        </w:tc>
      </w:tr>
      <w:tr>
        <w:trPr>
          <w:trHeight w:hRule="exact" w:val="2866"/>
        </w:trPr>
        <w:tc>
          <w:tcPr>
            <w:tcW w:w="15603" w:type="dxa"/>
            <w:gridSpan w:val="39"/>
            <w:vMerge w:val="restart"/>
            <w:tcMar>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причин (например, связанных с потреблением алкоголя) в трудоспособном возрасте. Эффективная профилактика ХНИЗ будет реализована в рамках внедрения популяционной профилактической модели на базе создаваемых центров общественного здоровья.</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Успешная реализация регионального проекта обеспечит достижение показателей Национального проекта «Демография»:</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 увеличение ожидаемой продолжительности здоровой жизни до 67 лет;</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 снижение смертности населения старше трудоспособного возраста;</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 увеличение доли граждан, ведущих здоровый образ жизни;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 увеличение обращаемости в медицинские организации по вопросам здорового образа жизни, в том числе увеличение числа лиц, которым рекомендованы индивидуальные планы по здоровому образу жизни.</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Более того, мероприятия, запланированные в рамках данного регионального проекта должны оказать непосредственное влияние на такие показатели Национального проекта «Демография», как:</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 </w:t>
            </w:r>
            <w:r>
              <w:rPr>
                <w:sz w:val="16"/>
                <w:szCs w:val="16"/>
                <w:rFonts w:ascii="Times New Roman" w:hAnsi="Times New Roman" w:eastAsia="Times New Roman" w:cs="Times New Roman"/>
                <w:spacing w:val="-2"/>
              </w:rPr>
              <w:t xml:space="preserve">увеличение суммарного коэффициента рождаемости (благодаря мероприятиям по профилактике репродуктивного здоровья);</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r>
              <w:rPr>
                <w:sz w:val="16"/>
                <w:szCs w:val="16"/>
                <w:rFonts w:ascii="Times New Roman" w:hAnsi="Times New Roman" w:eastAsia="Times New Roman" w:cs="Times New Roman"/>
                <w:spacing w:val="-2"/>
              </w:rPr>
              <w:t xml:space="preserve">- </w:t>
            </w:r>
            <w:r>
              <w:rPr>
                <w:sz w:val="16"/>
                <w:szCs w:val="16"/>
                <w:rFonts w:ascii="Times New Roman" w:hAnsi="Times New Roman" w:eastAsia="Times New Roman" w:cs="Times New Roman"/>
                <w:spacing w:val="-2"/>
              </w:rPr>
              <w:t xml:space="preserve">доля граждан, систематически занимающихся физической культурой и спортом (благодаря модельным муниципальным и корпоративным программам).</w:t>
            </w: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230"/>
            </w:pPr>
          </w:p>
          <w:p>
            <w:pPr>
              <w:rPr>
                <w:rFonts w:ascii="Times New Roman" w:hAnsi="Times New Roman" w:eastAsia="Times New Roman" w:cs="Times New Roman"/>
                <w:color w:val="000000"/>
                <w:sz w:val="24"/>
                <w:spacing w:val="-2"/>
              </w:rPr>
              <w:spacing w:line="161"/>
            </w:pPr>
          </w:p>
          <w:p>
            <w:pPr>
              <w:rPr>
                <w:rFonts w:ascii="Times New Roman" w:hAnsi="Times New Roman" w:eastAsia="Times New Roman" w:cs="Times New Roman"/>
                <w:color w:val="000000"/>
                <w:sz w:val="24"/>
                <w:spacing w:val="-2"/>
              </w:rPr>
              <w:spacing w:line="230"/>
            </w:pPr>
          </w:p>
          <w:p/>
        </w:tc>
        <w:tc>
          <w:tcPr>
            <w:tcW w:w="15" w:type="dxa"/>
            <w:tcBorders>
              <w:left w:val="single" w:sz="5" w:space="0" w:color="000000"/>
            </w:tcBorders>
          </w:tcPr>
          <w:p/>
        </w:tc>
      </w:tr>
      <w:tr>
        <w:trPr>
          <w:trHeight w:hRule="exact" w:val="2865"/>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2278"/>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2278"/>
        </w:trPr>
        <w:tc>
          <w:tcPr>
            <w:tcW w:w="15603" w:type="dxa"/>
            <w:gridSpan w:val="39"/>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5" w:type="dxa"/>
            <w:tcBorders>
              <w:left w:val="single" w:sz="5" w:space="0" w:color="000000"/>
            </w:tcBorders>
          </w:tcPr>
          <w:p/>
        </w:tc>
      </w:tr>
      <w:tr>
        <w:trPr>
          <w:trHeight w:hRule="exact" w:val="430"/>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r>
      <w:tr>
        <w:trPr>
          <w:trHeight w:hRule="exact" w:val="430"/>
        </w:trPr>
        <w:tc>
          <w:tcPr>
            <w:tcW w:w="15603" w:type="dxa"/>
            <w:gridSpan w:val="39"/>
            <w:tcBorders>
              <w:bottom w:val="single" w:sz="5" w:space="0" w:color="000000"/>
            </w:tcBorders>
          </w:tcPr>
          <w:p/>
        </w:tc>
        <w:tc>
          <w:tcPr>
            <w:tcW w:w="15" w:type="dxa"/>
          </w:tcPr>
          <w:p/>
        </w:tc>
      </w:tr>
      <w:tr>
        <w:trPr>
          <w:trHeight w:hRule="exact" w:val="487"/>
        </w:trPr>
        <w:tc>
          <w:tcPr>
            <w:tcW w:w="15603" w:type="dxa"/>
            <w:gridSpan w:val="39"/>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pPr>
            <w:r>
              <w:rPr>
                <w:sz w:val="24"/>
                <w:szCs w:val="24"/>
                <w:rFonts w:ascii="Times New Roman" w:hAnsi="Times New Roman" w:eastAsia="Times New Roman" w:cs="Times New Roman"/>
                <w:spacing w:val="-2"/>
              </w:rPr>
              <w:t xml:space="preserve"> </w:t>
            </w:r>
          </w:p>
          <w:p/>
        </w:tc>
        <w:tc>
          <w:tcPr>
            <w:tcW w:w="15" w:type="dxa"/>
            <w:tcBorders>
              <w:left w:val="single" w:sz="5" w:space="0" w:color="000000"/>
            </w:tcBorders>
          </w:tcPr>
          <w:p/>
        </w:tc>
      </w:tr>
      <w:tr>
        <w:trPr>
          <w:trHeight w:hRule="exact" w:val="430"/>
        </w:trPr>
        <w:tc>
          <w:tcPr>
            <w:tcW w:w="15618" w:type="dxa"/>
            <w:gridSpan w:val="4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r>
      <w:tr>
        <w:trPr>
          <w:trHeight w:hRule="exact" w:val="430"/>
        </w:trPr>
        <w:tc>
          <w:tcPr>
            <w:tcW w:w="15618" w:type="dxa"/>
            <w:gridSpan w:val="40"/>
          </w:tcP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№1</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Укрепление общественного здоровья (Республика Мордовия)</w:t>
            </w:r>
          </w:p>
        </w:tc>
      </w:tr>
      <w:tr>
        <w:trPr>
          <w:trHeight w:hRule="exact" w:val="143"/>
        </w:trPr>
        <w:tc>
          <w:tcPr>
            <w:tcW w:w="860" w:type="dxa"/>
            <w:gridSpan w:val="5"/>
            <w:shd w:val="clear" w:color="auto" w:fill="auto"/>
          </w:tcPr>
          <w:p>
            <w:pPr>
              <w:spacing w:line="230"/>
              <w:rPr>
                <w:rFonts w:ascii="Arial" w:hAnsi="Arial" w:eastAsia="Arial" w:cs="Arial"/>
                <w:color w:val="auto"/>
                <w:sz w:val="16"/>
                <w:spacing w:val="-2"/>
              </w:rPr>
            </w:pPr>
            <w:r>
              <w:rPr>
                <w:rFonts w:ascii="Arial" w:hAnsi="Arial" w:eastAsia="Arial" w:cs="Arial"/>
                <w:color w:val="auto"/>
                <w:sz w:val="16"/>
                <w:spacing w:val="-2"/>
              </w:rPr>
              <w:t xml:space="preserve">0</w:t>
            </w:r>
          </w:p>
        </w:tc>
        <w:tc>
          <w:tcPr>
            <w:tcW w:w="14758" w:type="dxa"/>
            <w:gridSpan w:val="35"/>
            <w:vAlign w:val="center"/>
            <w:shd w:val="clear" w:color="auto" w:fill="auto"/>
          </w:tcPr>
          <w:p>
            <w:pPr>
              <w:spacing w:line="230"/>
              <w:jc w:val="center"/>
              <w:rPr>
                <w:rFonts w:ascii="Times New Roman" w:hAnsi="Times New Roman" w:eastAsia="Times New Roman" w:cs="Times New Roman"/>
                <w:color w:val="000000"/>
                <w:sz w:val="28"/>
                <w:spacing w:val="-2"/>
              </w:rPr>
            </w:pPr>
          </w:p>
        </w:tc>
      </w:tr>
      <w:tr>
        <w:trPr>
          <w:trHeight w:hRule="exact" w:val="717"/>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ПЛАН МЕРОПРИЯТИЙ</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по реализации регионального проекта</w:t>
            </w: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Субъекты Российской Федерации обеспечили внедрение модели организации и функционирования центров общественного здоровья.</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Во всех (85)субъектах Российской Федерации органами исполнительной власти субъектов Российской Федерации и органами местного самоуправления с организационно-методическим сопровождением НМИЦ профилактической медицины Минздрава России будет осуществлено внедрение новой модели организации и функционирования центров общественного здоровья, включая создание центров общественного здоровья, внедрение новой учетно-отчетной документации.</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16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69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88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Организована работа телефона горячей линии по оказанию бесплатной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15.07.2019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1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консультативной помощи населению по отказу от курения на базе ГБУЗ РМ «РНД». Обучен медицинский персонал работе с населением</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Обеспечение работы бесплатной горячей линии по оказанию консультативной помощи при отказе от табакокурения на базе ГБУЗ РМ «РНД» и информирование населения о расписании её работы через сайты медицинских организаций республики</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15.07.2019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6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Организовано обучение медицинского персонала кабинетов и отделений профилактики медицинских организаций области по вопросам оказания помощи при отказе от курения, обеспечение кабинетов профильной литературой, наглядной агитацией, смокелайзерами.</w:t>
            </w: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01.12.2019</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и проведение обучения медицинского персонала кабинетов и отделений профилактики медицинских организаций области по вопросам оказания помощи при отказе от курения, обеспечение кабинетов профильной литературой, наглядной агитацией, смокелайзерами.</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01.12.2019</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руководителю проекта – ежегодный мониторинг по проведению обучения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39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Разработана модель центров общественного здоровья в соответствии с федеральными нормативными актами, регламентирующими их деятельность.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687"/>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Утверждена штатная численность и оснащение центров общественного здоровья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47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модели центров общественного здоровья в соответствии с федеральными нормативными актами, регламентирующими их деятельность</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1.3.2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штатной численности и оснащения центров общественного здоровья</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Открыт региональный центр общественного здоровья </w:t>
            </w: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15.10.2020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4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1.4.1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Регионального центра общественного здоровья, укомплектование и оснащение центра общественного здоровья в соответствии с утвержденными требованиями</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15.10.2020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Минздрава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663"/>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 Правительство Республики Мордовия представлены предложения по дополнительным мерам, направленным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и распространенности самогоноварения</w:t>
            </w:r>
          </w:p>
          <w:p>
            <w:pPr>
              <w:spacing w:line="230"/>
              <w:jc w:val="both"/>
              <w:rPr>
                <w:rFonts w:ascii="Times New Roman" w:hAnsi="Times New Roman" w:eastAsia="Times New Roman" w:cs="Times New Roman"/>
                <w:color w:val="000000"/>
                <w:sz w:val="24"/>
                <w:spacing w:val="-2"/>
              </w:rPr>
            </w:pPr>
          </w:p>
        </w:tc>
        <w:tc>
          <w:tcPr>
            <w:tcW w:w="1290" w:type="dxa"/>
            <w:gridSpan w:val="3"/>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66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29"/>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20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Оценка необходимости принятия дополнительных мер, направленных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и распространенности самогоноварения для их  предоставления руководителю регионального проекта </w:t>
            </w:r>
          </w:p>
          <w:p>
            <w:pPr>
              <w:spacing w:line="230"/>
              <w:jc w:val="both"/>
              <w:rPr>
                <w:rFonts w:ascii="Times New Roman" w:hAnsi="Times New Roman" w:eastAsia="Times New Roman" w:cs="Times New Roman"/>
                <w:color w:val="000000"/>
                <w:sz w:val="24"/>
                <w:spacing w:val="-2"/>
              </w:rPr>
            </w:p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01.02.2021</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Предложения по дополнительным мерам, направленным на формирование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192"/>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97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На базе 5 центров здоровья созданы первичные центры общественного здоровья"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модели организации  и функционирования первичных центров общественного здоровья </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1.6.2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Создание и функционирование первичных центров общественного здоровья на базе 5 центров здоровья </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33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Проведен конкурс по обору проектов на предоставление субсидий некоммерческим организациям, реализующим проекты</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формированию приверженности здоровому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21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образу жизни, размещение наилучших проектов на официальном сайте министерства здравоохранения Республики Мордовия</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Внедрение нормативных правовых актов, регламентирующих предоставление субсидий некоммерческим организациям, реализующим проекты по формированию приверженности здоровому образу жизни, принятых Правительством Российской Федерации </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33"/>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1.7.2</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положения о конкурсе по предоставлению субсидий некоммерческим организациям, реализующим проекты по формированию приверженности здоровому образу жизни. Проведение конкурса по обору проектов на предоставление субсидий некоммерческим организациям, реализующим проекты</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 формированию приверженности здоровому образу жизни</w:t>
            </w:r>
          </w:p>
          <w:p>
            <w:pPr>
              <w:spacing w:line="230"/>
              <w:jc w:val="both"/>
              <w:rPr>
                <w:rFonts w:ascii="Times New Roman" w:hAnsi="Times New Roman" w:eastAsia="Times New Roman" w:cs="Times New Roman"/>
                <w:color w:val="000000"/>
                <w:sz w:val="24"/>
                <w:spacing w:val="-2"/>
              </w:rPr>
            </w:p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01.09.2021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Приказ Приказ Министерства здравоохранения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8"/>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00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Внедрены рекомендации по наилучшим практикам реализации волонтерства в сфере охраны здоровья. Увеличение количества граждан и некоммерческих организаций в мероприятиях по укреплению общественного здоровья</w:t>
            </w: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602"/>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1.8.1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4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отсутствуют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3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Изготовлен информационный материал и размещен в средствах массовой информации по вопросам отказа от табакокурения. Проведены индивидуальные и групповые консультирования для различных групп населения по вопросам отказа от курения табака.  Открыты дополнительные 5 кабинетов по отказу табакокурения</w:t>
            </w: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работы кабинетов по отказу от курения в медицинских организациях, открытие дополнительных кабинетов по отказу от курения (не менее 5 за период реализации проекта)</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Ежегодный отчет медицинских организаций о работе кабинетов по отказу от табакокурения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3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Оказание медицинской помощи, проведение индивидуального и группового консультирования в школах здоровья в медицинских организациях, в кабинетах/отделениях медицинской профилактики, центрах здоровья для различных групп населения по вопросам отказа от курения табака </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Ежегодный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8"/>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1.9.3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Размещение в средствах массовой информации информационных материалов, социальной рекламы о вреде потребления табака</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01.03.2019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Ежегодный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01"/>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Подготовлен и распространен информационный материал по вопросам  снижения потребления алкоголя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w:t>
            </w:r>
          </w:p>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79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1.10.1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Подготовка и распространение информационного материала, организация и проведение акций в медицинских организациях, общественных местах, учреждениях образования и социальной  сферы, по вопросам профилактики и противодействию распространения потребления алкоголя</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Ежегодный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53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Реализован  план мероприятий в медицинских, общественных и волонтерских  организациях    по противодействию распространения потребления алкоголя подростками, студентами и формированию у них приверженности к ЗОЖ при проведении акций и массовых мероприятий</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2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Включение в план медицинских организаций, волонтеров и общественных организаций мероприятий по противодействию распространения потребления алкоголя подростками, студентами и формированию у них приверженности к ЗОЖ при проведении акций и массовых мероприятий</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Ежегодный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5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Обучены медицинские работники,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4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проведено обучение населения принципам рационального  питания</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обучения медицинских работников принципам здорового питания</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Ежегодный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6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1.12.2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Увеличение числа населения Республики Мордовия обученных основным принципах рационального  питания </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Ежегодный мониторинг отделением медицинской профилактики ГАУЗ «РВФД» и ГАУЗ РМ «МИАЦ»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Подготовлен и издан информационный материал для населения по вопросам здорового питания</w:t>
            </w: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Подготовка информационного материала для населения по вопросам здорового питания</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01.04.2019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73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Планирование информационно-коммуникационной кампании с использованием основных телекоммуникационных каналов для всех целевых аудиторий</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План информационно-коммуникационной кампании с использованием основных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r>
      <w:tr>
        <w:trPr>
          <w:trHeight w:hRule="exact" w:val="429"/>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телекоммуникационных каналов для всех целевых аудиторий</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53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рекламно-информационных материалов для проведения информационно-коммуникационной кампании с использованием основных телекоммуникационных каналов для всех целевых аудиторий</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15.04.2024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разработке рекламно-информационных материалов для проведения информационно-коммуникационной кампании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1.14.3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Проведение информационно-коммуникационной кампании с использованием основных телекоммуникационных каналов для всех целевых аудиторий</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15.03.2019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проведении информационно-коммуникационной кампании</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0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Подведены итоги информационно-коммуникационной кампании с использованием основных телекоммуникационных каналов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для всех целевых аудиторий</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РРП</w:t>
            </w:r>
          </w:p>
        </w:tc>
      </w:tr>
      <w:tr>
        <w:trPr>
          <w:trHeight w:hRule="exact" w:val="71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1.15.1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Мероприятия по контрольной точке отсутствуют</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903"/>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Муниципальные образования внедрили муниципальные программы общественного </w:t>
            </w:r>
          </w:p>
          <w:p/>
        </w:tc>
        <w:tc>
          <w:tcPr>
            <w:tcW w:w="1290" w:type="dxa"/>
            <w:gridSpan w:val="3"/>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В 100% муниципальных образований на основании </w:t>
            </w:r>
          </w:p>
          <w:p/>
        </w:tc>
        <w:tc>
          <w:tcPr>
            <w:tcW w:w="1863" w:type="dxa"/>
            <w:gridSpan w:val="5"/>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5"/>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здоровья</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рекомендованной Минздравом России типовой муниципальной программы по укреплению общественного здоровья органами местного самоуправления будут утверждены муниципальные программы по укреплению общественного здоровья (нарастающим итогом), предусмотрено соответствующее финансирование.В соответствии с данными программами будет продолжена реализация мероприятий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47"/>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33"/>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530"/>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Внедрена региональная модельная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147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программа и муниципальные программы по укреплению здоровья населения,(в том числе, программ для моногородов), включающей мероприятия по первичной профилактике стоматологических заболеваний</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региональной модельной программы и муниципальных программ по укреплению здоровья населения, (в том числе, программ для моногородов), включающей мероприятия по первичной профилактике стоматологических заболеваний</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00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Внедрена региональная модельная программа и муниципальные программы, направленные на сокращение действия факторов риска развития неинфекционных заболеваний у мужчин трудоспособного возраста </w:t>
            </w: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0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региональной модельной программы и муниципальных программ, направленных на сокращение действия факторов риска развития неинфекционных заболеваний у мужчин трудоспособного возраста</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15.05.2020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5"/>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Не менее 20% муниципальных образований внедрили муниципальные программы общественного здоровья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1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и внедрение органами местного самоуправления  муниципальных программ по укреплению общественного здоровья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15.01.2020</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6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Внедрены региональные нормативные правовые акты, по вопросам формирования среды, способствующей ведению гражданами здорового образа жизни, основанные на рекомендациях Всемирной организации здравоохранения и нормативных правовых актах Правительства Российской Федерации и Минздрава России</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533"/>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2.4.1</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обсуждение  региональных нормативных правовых актов и методических документов по вопросам ведения гражданами здорового образа жизни, основанные на рекомендациях Всемирной организации здравоохранения и Министерства здравоохранения Российской Федерации, включая создание на базе региональных, муниципальных центров медицинской профилактики и центров здоровья, центра общественного здоровья</w:t>
            </w: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519"/>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9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обсуждение и внесение на рассмотрение в Правительство Республики Мордовия проектов региональных нормативных правовых актов, основанных на нормативных правовых актах Правительства Российской Федерации, Минздрава России, направленных на снижение потребления алкоголя, снижение распространенности самогоноварения и защиту от табачного дыма и последствий потребления табака</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57"/>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3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2.4.3</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обсуждение и внесение на рассмотрение в Правительство Республики Мордовия  проектов региональных нормативных правовых актов, основанных на нормативных правовых актах  Правительства Российской Федерации, Минздрава России направленных на йодирование пищевой поваренной соли в целях профилактики заболеваний, связанных с дефицитом йода</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2.4.4</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обсуждение и внесение на рассмотрение в Правительство Республики Мордовия  проектов региональных нормативных правовых актов, основанных на нормативных правовых актах  Правительства Российской Федерации, Минздрава России направленных на сокращение потребления сахара и соли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01.02.2019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6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2.4.5</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обсуждение и внесение на рассмотрение в Правительство Республики Мордовия проектов региональных нормативных правовых актов, основанных на нормативных правовых актах Правительства Российской Федерации, Минздрава России направленных на ликвидацию микронутриентной недостаточности</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Не менее 40% муниципальных образований внедрили муниципальные программы общественного здоровья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2.5.1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и внедрение органами местного самоуправления  муниципальных программ по укреплению общественного здоровья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15.01.2021</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15.12.2021</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9"/>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429"/>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Не менее 60% муниципальных образований внедрили муниципальные программы общественного здоровья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15.12.2022</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2.6.1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и внедрение органами местного самоуправления  муниципальных программ по укреплению общественного здоровья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Не менее 80% муниципальных образований внедрили муниципальные программы общественного здоровья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15.12.2023</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97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2.7.1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и внедрение органами местного самоуправления  муниципальных программ по укреплению общественного здоровья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97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100%  муниципальных образований внедрили муниципальные программы общественного здоровья</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2.8.1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Утверждение  и внедрение органами местного самоуправления  муниципальных программ по укреплению общественного здоровья</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15.01.2024</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Акт нормативные правовые акты Республики Мордовия</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47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Поведены мероприятия  по профилактике раннего выявления лиц, употребляющих алкоголь в муниципальных районах Республики Мордовия</w:t>
            </w: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1820"/>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Организация и проведение мероприятий, направленных на реализацию программы профилактики раннего выявления лиц, употребляющих алкоголь в муниципальных районах Республики Мордовия</w:t>
            </w: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01.06.2019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15.12.2024</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Ежегодный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29</w:t>
            </w:r>
          </w:p>
        </w:tc>
      </w:tr>
      <w:tr>
        <w:trPr>
          <w:trHeight w:hRule="exact" w:val="430"/>
        </w:trPr>
        <w:tc>
          <w:tcPr>
            <w:tcW w:w="15618" w:type="dxa"/>
            <w:gridSpan w:val="40"/>
            <w:tcBorders>
              <w:bottom w:val="single" w:sz="5" w:space="0" w:color="000000"/>
            </w:tcBorders>
          </w:tcPr>
          <w:p/>
        </w:tc>
      </w:tr>
      <w:tr>
        <w:trPr>
          <w:trHeight w:hRule="exact" w:val="429"/>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415"/>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both"/>
            </w:pPr>
            <w:r>
              <w:rPr>
                <w:sz w:val="24"/>
                <w:szCs w:val="24"/>
                <w:rFonts w:ascii="Times New Roman" w:hAnsi="Times New Roman" w:eastAsia="Times New Roman" w:cs="Times New Roman"/>
                <w:spacing w:val="-2"/>
              </w:rPr>
              <w:t xml:space="preserve">Внедрены корпоративные программы, содержащие наилучшие практики по укреплению здоровья работников</w:t>
            </w:r>
            <w:r>
              <w:rPr>
                <w:color w:val="FFFFFF"/>
                <w:sz w:val="7.5"/>
                <w:szCs w:val="7.5"/>
                <w:rFonts w:ascii="Times New Roman" w:hAnsi="Times New Roman" w:eastAsia="Times New Roman" w:cs="Times New Roman"/>
                <w:spacing w:val="-2"/>
              </w:rPr>
              <w:t xml:space="preserve">0</w:t>
            </w:r>
          </w:p>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15.12.2023</w:t>
            </w: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 По итогам пилотного проекта будет проработан вопрос о необходимости внесения изменений в законодательство Российской Федерации, включая Трудовой кодекс Российской Федерации, предусматривающие необходимость дляработодателей внедрять корпоративные программы по укреплению здоровья работников. В субъектах Российской Федерации с организационно-методическим сопровождением НМИЦ профилактической медицины Минздрава России с привлечением Фонда социального страхования Российской Федерации будет проведена информационно-разъяснительная работа с работодателями в целях внедрения корпоративных программ по укреплению здоровья работников. </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r>
      <w:tr>
        <w:trPr>
          <w:trHeight w:hRule="exact" w:val="286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505"/>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1490"/>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30</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29"/>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7"/>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866"/>
        </w:trPr>
        <w:tc>
          <w:tcPr>
            <w:tcW w:w="71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Работодателями будут проведены мероприятия, указанные в корпоративных программах, включая привлечение медицинских работников центров общественного здоровья и центров здоровья для обследования работников и проведения школ и лекционных занятий по формированию здорового образа жизни, отказа от курения и употребления алкогольных напитков, перехода на здоровое питание. Примеры наилучших результатов по проведению корпоративных программ будут опубликованы на сайте Минздрава России, интернет-сайтах органов исполнительной власти пилотных регионов и в средствах массовой информации в рамках информационно-коммуникационной кампании.</w:t>
            </w:r>
          </w:p>
          <w:p/>
        </w:tc>
        <w:tc>
          <w:tcPr>
            <w:tcW w:w="1863" w:type="dxa"/>
            <w:gridSpan w:val="5"/>
            <w:vMerge w:val="restart"/>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751"/>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736"/>
        </w:trPr>
        <w:tc>
          <w:tcPr>
            <w:tcW w:w="71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2435"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78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Внедрены и размещены в сети Интернет модельные корпоративные программы,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15.12.2020</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946"/>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содержащих наилучшие практики по укреплению здоровья работников </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1733"/>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3.1.1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обсуждение модельных корпоративных программ, содержащих наилучшие практики по укреплению здоровья работников</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15.01.2019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2264"/>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Подведены промежуточные итоги внедрения модельных корпоративных программ, содержащих наилучшие практики по укреплению здоровья работников на выбранных пилотных площадках</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15.12.2021</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200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Внедрение модельных корпоративных программ, содержащих наилучшие практики по укреплению здоровья работников на выбранных пилотных площадках </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15.09.2019</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15.12.2020</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руководителю проекта</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1218"/>
        </w:trPr>
        <w:tc>
          <w:tcPr>
            <w:tcW w:w="716"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c>
          <w:tcPr>
            <w:tcW w:w="5158"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КТ: Внедрены модельные корпоративные программы укрепления здоровья, содержащие наилучшие практики по укреплению здоровья работников</w:t>
            </w:r>
          </w:p>
        </w:tc>
        <w:tc>
          <w:tcPr>
            <w:tcW w:w="1290" w:type="dxa"/>
            <w:gridSpan w:val="3"/>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w:t>
            </w:r>
          </w:p>
        </w:tc>
        <w:tc>
          <w:tcPr>
            <w:tcW w:w="1290" w:type="dxa"/>
            <w:gridSpan w:val="4"/>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15.12.2023</w:t>
            </w:r>
          </w:p>
        </w:tc>
        <w:tc>
          <w:tcPr>
            <w:tcW w:w="2435"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ПК</w:t>
            </w:r>
          </w:p>
        </w:tc>
      </w:tr>
      <w:tr>
        <w:trPr>
          <w:trHeight w:hRule="exact" w:val="97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3.3.1</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Оценка необходимости внедрения дополнительных решений в модельные корпоративные программы, содержащие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15.06.2022</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15.12.2022</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Прочий тип документа Предложения по дополнительным </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32</w:t>
            </w:r>
          </w:p>
        </w:tc>
      </w:tr>
      <w:tr>
        <w:trPr>
          <w:trHeight w:hRule="exact" w:val="430"/>
        </w:trPr>
        <w:tc>
          <w:tcPr>
            <w:tcW w:w="15618" w:type="dxa"/>
            <w:gridSpan w:val="40"/>
            <w:tcBorders>
              <w:bottom w:val="single" w:sz="5" w:space="0" w:color="000000"/>
            </w:tcBorders>
          </w:tcPr>
          <w:p/>
        </w:tc>
      </w:tr>
      <w:tr>
        <w:trPr>
          <w:trHeight w:hRule="exact" w:val="430"/>
        </w:trPr>
        <w:tc>
          <w:tcPr>
            <w:tcW w:w="716" w:type="dxa"/>
            <w:gridSpan w:val="4"/>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5158"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Наименование результата, мероприятия, контрольной точки</w:t>
            </w:r>
          </w:p>
        </w:tc>
        <w:tc>
          <w:tcPr>
            <w:tcW w:w="258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Сроки реализации</w:t>
            </w:r>
          </w:p>
        </w:tc>
        <w:tc>
          <w:tcPr>
            <w:tcW w:w="2435"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исполнитель</w:t>
            </w:r>
          </w:p>
        </w:tc>
        <w:tc>
          <w:tcPr>
            <w:tcW w:w="2866" w:type="dxa"/>
            <w:gridSpan w:val="8"/>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Вид документа и характеристика</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результата</w:t>
            </w:r>
          </w:p>
        </w:tc>
        <w:tc>
          <w:tcPr>
            <w:tcW w:w="1863" w:type="dxa"/>
            <w:gridSpan w:val="5"/>
            <w:vMerge w:val="restart"/>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контроля</w:t>
            </w:r>
          </w:p>
        </w:tc>
      </w:tr>
      <w:tr>
        <w:trPr>
          <w:trHeight w:hRule="exact" w:val="430"/>
        </w:trPr>
        <w:tc>
          <w:tcPr>
            <w:tcW w:w="716" w:type="dxa"/>
            <w:gridSpan w:val="4"/>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5158"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начало</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окончание</w:t>
            </w:r>
          </w:p>
        </w:tc>
        <w:tc>
          <w:tcPr>
            <w:tcW w:w="2435"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2866" w:type="dxa"/>
            <w:gridSpan w:val="8"/>
            <w:vMerge/>
            <w:vAlign w:val="center"/>
            <w:tcBorders>
              <w:top w:val="single" w:sz="5" w:space="0" w:color="000000"/>
              <w:left w:val="single" w:sz="5" w:space="0" w:color="000000"/>
              <w:bottom w:val="single" w:sz="5" w:space="0" w:color="000000"/>
              <w:right w:val="single" w:sz="5" w:space="0" w:color="000000"/>
            </w:tcBorders>
            <w:shd w:val="clear" w:color="auto" w:fill="auto"/>
          </w:tcPr>
          <w:p/>
        </w:tc>
        <w:tc>
          <w:tcPr>
            <w:tcW w:w="1863" w:type="dxa"/>
            <w:gridSpan w:val="5"/>
            <w:vMerge/>
            <w:vAlign w:val="center"/>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286"/>
        </w:trPr>
        <w:tc>
          <w:tcPr>
            <w:tcW w:w="71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5158"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1290"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90"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435"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286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863"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r>
      <w:tr>
        <w:trPr>
          <w:trHeight w:hRule="exact" w:val="2536"/>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наилучшие практики по укреплению здоровья работников.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Разработка и внедрение дополнительных решений по модельным корпоративным программам, содержащим наилучшие практики по укреплению здоровья работников</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w:t>
            </w: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решениям по модельным корпоративным программам, содержащим наилучшие практики по укреплению здоровья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tc>
      </w:tr>
      <w:tr>
        <w:trPr>
          <w:trHeight w:hRule="exact" w:val="2794"/>
        </w:trPr>
        <w:tc>
          <w:tcPr>
            <w:tcW w:w="71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3.3.2</w:t>
            </w:r>
          </w:p>
        </w:tc>
        <w:tc>
          <w:tcPr>
            <w:tcW w:w="5158"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Внедрение  актуализированных модельных корпоративных программ, содержащих наилучшие практики по укреплению здоровья работников.</w:t>
            </w:r>
          </w:p>
          <w:p>
            <w:pPr>
              <w:spacing w:line="230"/>
              <w:jc w:val="both"/>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Оценка результатов внедрения модельных корпоративных программ, содержащих наилучшие практики по укреплению здоровья работников</w:t>
            </w:r>
          </w:p>
          <w:p>
            <w:pPr>
              <w:spacing w:line="230"/>
              <w:jc w:val="both"/>
              <w:rPr>
                <w:rFonts w:ascii="Times New Roman" w:hAnsi="Times New Roman" w:eastAsia="Times New Roman" w:cs="Times New Roman"/>
                <w:color w:val="000000"/>
                <w:sz w:val="24"/>
                <w:spacing w:val="-2"/>
              </w:rPr>
            </w:pPr>
          </w:p>
          <w:p>
            <w:pPr>
              <w:spacing w:line="230"/>
              <w:jc w:val="both"/>
              <w:rPr>
                <w:rFonts w:ascii="Times New Roman" w:hAnsi="Times New Roman" w:eastAsia="Times New Roman" w:cs="Times New Roman"/>
                <w:color w:val="000000"/>
                <w:sz w:val="24"/>
                <w:spacing w:val="-2"/>
              </w:rPr>
            </w:pPr>
          </w:p>
        </w:tc>
        <w:tc>
          <w:tcPr>
            <w:tcW w:w="1290"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15.06.2023</w:t>
            </w:r>
          </w:p>
        </w:tc>
        <w:tc>
          <w:tcPr>
            <w:tcW w:w="1290"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15.12.2023</w:t>
            </w:r>
          </w:p>
        </w:tc>
        <w:tc>
          <w:tcPr>
            <w:tcW w:w="2435"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Романович Н. Е., Заместитель Министра</w:t>
            </w:r>
          </w:p>
        </w:tc>
        <w:tc>
          <w:tcPr>
            <w:tcW w:w="2866" w:type="dxa"/>
            <w:gridSpan w:val="8"/>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rPr>
                <w:rFonts w:ascii="Times New Roman" w:hAnsi="Times New Roman" w:eastAsia="Times New Roman" w:cs="Times New Roman"/>
                <w:color w:val="000000"/>
                <w:sz w:val="24"/>
                <w:spacing w:val="-2"/>
              </w:rPr>
              <w:spacing w:line="230"/>
              <w:jc w:val="center"/>
            </w:pPr>
            <w:r>
              <w:rPr>
                <w:sz w:val="24"/>
                <w:szCs w:val="24"/>
                <w:rFonts w:ascii="Times New Roman" w:hAnsi="Times New Roman" w:eastAsia="Times New Roman" w:cs="Times New Roman"/>
                <w:spacing w:val="-2"/>
              </w:rPr>
              <w:t xml:space="preserve">Отчет Отчет о внедрении модельных корпоративных программ, содержащих наилучшие практики по укреплению здоровья работников</w:t>
            </w:r>
          </w:p>
          <w:p/>
        </w:tc>
        <w:tc>
          <w:tcPr>
            <w:tcW w:w="1863"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РНП</w:t>
            </w:r>
          </w:p>
        </w:tc>
      </w:tr>
      <w:tr>
        <w:trPr>
          <w:trHeight w:hRule="exact" w:val="430"/>
        </w:trPr>
        <w:tc>
          <w:tcPr>
            <w:tcW w:w="15618" w:type="dxa"/>
            <w:gridSpan w:val="40"/>
            <w:tcBorders>
              <w:top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33</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ПРИЛОЖЕНИЕ №2</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к паспорту регионального проекта</w:t>
            </w:r>
          </w:p>
        </w:tc>
      </w:tr>
      <w:tr>
        <w:trPr>
          <w:trHeight w:hRule="exact" w:val="573"/>
        </w:trPr>
        <w:tc>
          <w:tcPr>
            <w:tcW w:w="11462" w:type="dxa"/>
            <w:gridSpan w:val="30"/>
          </w:tcPr>
          <w:p/>
        </w:tc>
        <w:tc>
          <w:tcPr>
            <w:tcW w:w="4156" w:type="dxa"/>
            <w:gridSpan w:val="10"/>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Укрепление общественного здоровья (Республика Мордовия)</w:t>
            </w:r>
          </w:p>
        </w:tc>
      </w:tr>
      <w:tr>
        <w:trPr>
          <w:trHeight w:hRule="exact" w:val="860"/>
        </w:trPr>
        <w:tc>
          <w:tcPr>
            <w:tcW w:w="15618" w:type="dxa"/>
            <w:gridSpan w:val="40"/>
            <w:vAlign w:val="center"/>
            <w:tcBorders>
              <w:bottom w:val="single" w:sz="5" w:space="0" w:color="000000"/>
            </w:tcBorders>
            <w:shd w:val="clear" w:color="auto" w:fill="auto"/>
          </w:tcPr>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МЕТОДИКА</w:t>
            </w:r>
          </w:p>
          <w:p>
            <w:pPr>
              <w:spacing w:line="230"/>
              <w:jc w:val="center"/>
              <w:rPr>
                <w:rFonts w:ascii="Times New Roman" w:hAnsi="Times New Roman" w:eastAsia="Times New Roman" w:cs="Times New Roman"/>
                <w:color w:val="000000"/>
                <w:sz w:val="28"/>
                <w:spacing w:val="-2"/>
              </w:rPr>
            </w:pPr>
            <w:r>
              <w:rPr>
                <w:rFonts w:ascii="Times New Roman" w:hAnsi="Times New Roman" w:eastAsia="Times New Roman" w:cs="Times New Roman"/>
                <w:color w:val="000000"/>
                <w:sz w:val="28"/>
                <w:spacing w:val="-2"/>
              </w:rPr>
              <w:t xml:space="preserve">расчета дополнительных показателей регионального проекта</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6"/>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Розничные продажи алкогольной продукции на душу населения (в литрах этанола) л 100% спирта</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2" name="Picture 1" descr="Image00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1.jpeg"/>
                          <pic:cNvPicPr/>
                        </pic:nvPicPr>
                        <pic:blipFill>
                          <a:blip r:embed="rId5" cstate="print"/>
                          <a:stretch>
                            <a:fillRect/>
                          </a:stretch>
                        </pic:blipFill>
                        <pic:spPr>
                          <a:xfrm>
                            <a:off x="0" y="0"/>
                            <a:ext cx="9967266" cy="640106"/>
                          </a:xfrm>
                          <a:prstGeom prst="rect">
                            <a:avLst/>
                          </a:prstGeom>
                        </pic:spPr>
                      </pic:pic>
                    </a:graphicData>
                  </a:graphic>
                </wp:inline>
              </w:drawing>
            </w:r>
          </w:p>
        </w:tc>
      </w:tr>
      <w:tr>
        <w:trPr>
          <w:trHeight w:hRule="exact" w:val="2207"/>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Сумма оборота розничной торговли алкогольными напитками торгующих организаций и оборота розничной торговли пивом и пивными напитками индивидуальных предпринимателей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Формы федерального статистического обследования №№ П-1, П-5(м), 3-ТОРГ(ПМ), ПМ, МП-микро, 1-ТОРГ, 1-конъюнктура</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ПРОМЫШЛЕННОСТИ И ТОРГОВЛИ РОССИЙСКОЙ ФЕДЕРАЦИИ</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296" w:type="dxa"/>
            <w:gridSpan w:val="8"/>
            <w:vMerge w:val="restart"/>
            <w:tcMar>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192"/>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left w:val="single" w:sz="5" w:space="0" w:color="000000"/>
              <w:bottom w:val="single" w:sz="5" w:space="0" w:color="000000"/>
              <w:right w:val="single" w:sz="5" w:space="0" w:color="000000"/>
            </w:tcBorders>
            <w:shd w:val="clear" w:color="auto" w:fill="auto"/>
          </w:tcPr>
          <w:p/>
        </w:tc>
      </w:tr>
      <w:tr>
        <w:trPr>
          <w:trHeight w:hRule="exact" w:val="430"/>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34</w:t>
            </w:r>
          </w:p>
        </w:tc>
      </w:tr>
      <w:tr>
        <w:trPr>
          <w:trHeight w:hRule="exact" w:val="859"/>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2206"/>
        </w:trPr>
        <w:tc>
          <w:tcPr>
            <w:tcW w:w="430" w:type="dxa"/>
            <w:gridSpan w:val="2"/>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Сумма оборота розничной торговли алкогольными напитками торгующих организаций и оборота розничной торговли пивом и пивными напитками индивидуальных предпринимателей </w:t>
            </w:r>
          </w:p>
        </w:tc>
        <w:tc>
          <w:tcPr>
            <w:tcW w:w="2436" w:type="dxa"/>
            <w:gridSpan w:val="4"/>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Формы федерального статистического обследования №№ П-1, П-5(м), 3-ТОРГ(ПМ), ПМ, МП-микро, 1-ТОРГ, 1-конъюнктура</w:t>
            </w:r>
          </w:p>
        </w:tc>
        <w:tc>
          <w:tcPr>
            <w:tcW w:w="2150" w:type="dxa"/>
            <w:gridSpan w:val="7"/>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МИНИСТЕРСТВО ПРОМЫШЛЕННОСТИ И ТОРГОВЛИ РОССИЙСКОЙ ФЕДЕРАЦИИ</w:t>
            </w:r>
          </w:p>
        </w:tc>
        <w:tc>
          <w:tcPr>
            <w:tcW w:w="1576" w:type="dxa"/>
            <w:gridSpan w:val="5"/>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РФ</w:t>
            </w:r>
          </w:p>
        </w:tc>
        <w:tc>
          <w:tcPr>
            <w:tcW w:w="1719" w:type="dxa"/>
            <w:gridSpan w:val="6"/>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 раз в год</w:t>
            </w:r>
          </w:p>
        </w:tc>
        <w:tc>
          <w:tcPr>
            <w:tcW w:w="3296" w:type="dxa"/>
            <w:gridSpan w:val="8"/>
            <w:vMerge w:val="restart"/>
            <w:tcMar>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2193"/>
        </w:trPr>
        <w:tc>
          <w:tcPr>
            <w:tcW w:w="430" w:type="dxa"/>
            <w:gridSpan w:val="2"/>
            <w:vMerge/>
            <w:tcBorders>
              <w:top w:val="single" w:sz="5" w:space="0" w:color="000000"/>
              <w:left w:val="single" w:sz="5" w:space="0" w:color="000000"/>
              <w:bottom w:val="single" w:sz="5" w:space="0" w:color="000000"/>
              <w:right w:val="single" w:sz="5" w:space="0" w:color="000000"/>
            </w:tcBorders>
            <w:shd w:val="clear" w:color="auto" w:fill="auto"/>
          </w:tcPr>
          <w:p/>
        </w:tc>
        <w:tc>
          <w:tcPr>
            <w:tcW w:w="2722"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2436" w:type="dxa"/>
            <w:gridSpan w:val="4"/>
            <w:vMerge/>
            <w:tcBorders>
              <w:top w:val="single" w:sz="5" w:space="0" w:color="000000"/>
              <w:left w:val="single" w:sz="5" w:space="0" w:color="000000"/>
              <w:bottom w:val="single" w:sz="5" w:space="0" w:color="000000"/>
              <w:right w:val="single" w:sz="5" w:space="0" w:color="000000"/>
            </w:tcBorders>
            <w:shd w:val="clear" w:color="auto" w:fill="auto"/>
          </w:tcPr>
          <w:p/>
        </w:tc>
        <w:tc>
          <w:tcPr>
            <w:tcW w:w="1289" w:type="dxa"/>
            <w:gridSpan w:val="3"/>
            <w:vMerge/>
            <w:tcBorders>
              <w:top w:val="single" w:sz="5" w:space="0" w:color="000000"/>
              <w:left w:val="single" w:sz="5" w:space="0" w:color="000000"/>
              <w:bottom w:val="single" w:sz="5" w:space="0" w:color="000000"/>
              <w:right w:val="single" w:sz="5" w:space="0" w:color="000000"/>
            </w:tcBorders>
            <w:shd w:val="clear" w:color="auto" w:fill="auto"/>
          </w:tcPr>
          <w:p/>
        </w:tc>
        <w:tc>
          <w:tcPr>
            <w:tcW w:w="2150" w:type="dxa"/>
            <w:gridSpan w:val="7"/>
            <w:vMerge/>
            <w:tcBorders>
              <w:top w:val="single" w:sz="5" w:space="0" w:color="000000"/>
              <w:left w:val="single" w:sz="5" w:space="0" w:color="000000"/>
              <w:bottom w:val="single" w:sz="5" w:space="0" w:color="000000"/>
              <w:right w:val="single" w:sz="5" w:space="0" w:color="000000"/>
            </w:tcBorders>
            <w:shd w:val="clear" w:color="auto" w:fill="auto"/>
          </w:tcPr>
          <w:p/>
        </w:tc>
        <w:tc>
          <w:tcPr>
            <w:tcW w:w="1576" w:type="dxa"/>
            <w:gridSpan w:val="5"/>
            <w:vMerge/>
            <w:tcBorders>
              <w:top w:val="single" w:sz="5" w:space="0" w:color="000000"/>
              <w:left w:val="single" w:sz="5" w:space="0" w:color="000000"/>
              <w:bottom w:val="single" w:sz="5" w:space="0" w:color="000000"/>
              <w:right w:val="single" w:sz="5" w:space="0" w:color="000000"/>
            </w:tcBorders>
            <w:shd w:val="clear" w:color="auto" w:fill="auto"/>
          </w:tcPr>
          <w:p/>
        </w:tc>
        <w:tc>
          <w:tcPr>
            <w:tcW w:w="1719" w:type="dxa"/>
            <w:gridSpan w:val="6"/>
            <w:vMerge/>
            <w:tcBorders>
              <w:top w:val="single" w:sz="5" w:space="0" w:color="000000"/>
              <w:left w:val="single" w:sz="5" w:space="0" w:color="000000"/>
              <w:bottom w:val="single" w:sz="5" w:space="0" w:color="000000"/>
              <w:right w:val="single" w:sz="5" w:space="0" w:color="000000"/>
            </w:tcBorders>
            <w:shd w:val="clear" w:color="auto" w:fill="auto"/>
          </w:tcPr>
          <w:p/>
        </w:tc>
        <w:tc>
          <w:tcPr>
            <w:tcW w:w="3296" w:type="dxa"/>
            <w:gridSpan w:val="8"/>
            <w:vMerge/>
            <w:tcBorders>
              <w:top w:val="single" w:sz="5" w:space="0" w:color="000000"/>
              <w:left w:val="single" w:sz="5" w:space="0" w:color="000000"/>
              <w:bottom w:val="single" w:sz="5" w:space="0" w:color="000000"/>
              <w:right w:val="single" w:sz="5" w:space="0" w:color="000000"/>
            </w:tcBorders>
            <w:shd w:val="clear" w:color="auto" w:fill="auto"/>
          </w:tcPr>
          <w:p/>
        </w:tc>
      </w:tr>
      <w:tr>
        <w:trPr>
          <w:trHeight w:hRule="exact" w:val="429"/>
        </w:trPr>
        <w:tc>
          <w:tcPr>
            <w:tcW w:w="15618" w:type="dxa"/>
            <w:gridSpan w:val="40"/>
            <w:tcBorders>
              <w:top w:val="single" w:sz="5" w:space="0" w:color="000000"/>
              <w:bottom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35</w:t>
            </w:r>
          </w:p>
        </w:tc>
      </w:tr>
      <w:tr>
        <w:trPr>
          <w:trHeight w:hRule="exact" w:val="860"/>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 п/п</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Методика расчета</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Базовые показатели</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Источник данных</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Ответственный за сбор данных</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Уровень агрегирования информации</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Временные характеристики</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Дополнительная информация</w:t>
            </w:r>
          </w:p>
        </w:tc>
      </w:tr>
      <w:tr>
        <w:trPr>
          <w:trHeight w:hRule="exact" w:val="287"/>
        </w:trPr>
        <w:tc>
          <w:tcPr>
            <w:tcW w:w="430" w:type="dxa"/>
            <w:gridSpan w:val="2"/>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1</w:t>
            </w:r>
          </w:p>
        </w:tc>
        <w:tc>
          <w:tcPr>
            <w:tcW w:w="2722"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436" w:type="dxa"/>
            <w:gridSpan w:val="4"/>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1289" w:type="dxa"/>
            <w:gridSpan w:val="3"/>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4</w:t>
            </w:r>
          </w:p>
        </w:tc>
        <w:tc>
          <w:tcPr>
            <w:tcW w:w="2150" w:type="dxa"/>
            <w:gridSpan w:val="7"/>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5</w:t>
            </w:r>
          </w:p>
        </w:tc>
        <w:tc>
          <w:tcPr>
            <w:tcW w:w="1576" w:type="dxa"/>
            <w:gridSpan w:val="5"/>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6</w:t>
            </w:r>
          </w:p>
        </w:tc>
        <w:tc>
          <w:tcPr>
            <w:tcW w:w="1719" w:type="dxa"/>
            <w:gridSpan w:val="6"/>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7</w:t>
            </w:r>
          </w:p>
        </w:tc>
        <w:tc>
          <w:tcPr>
            <w:tcW w:w="3296" w:type="dxa"/>
            <w:gridSpan w:val="8"/>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8</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женщин в возрасте  16-54 лет  кг/м2</w:t>
            </w:r>
          </w:p>
        </w:tc>
      </w:tr>
      <w:tr>
        <w:trPr>
          <w:trHeight w:hRule="exact" w:val="1002"/>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39467"/>
                  <wp:effectExtent l="0" t="0" r="0" b="0"/>
                  <wp:docPr id="3" name="Picture 2" descr="Image000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2.jpeg"/>
                          <pic:cNvPicPr/>
                        </pic:nvPicPr>
                        <pic:blipFill>
                          <a:blip r:embed="rId6" cstate="print"/>
                          <a:stretch>
                            <a:fillRect/>
                          </a:stretch>
                        </pic:blipFill>
                        <pic:spPr>
                          <a:xfrm>
                            <a:off x="0" y="0"/>
                            <a:ext cx="9967266" cy="639467"/>
                          </a:xfrm>
                          <a:prstGeom prst="rect">
                            <a:avLst/>
                          </a:prstGeom>
                        </pic:spPr>
                      </pic:pic>
                    </a:graphicData>
                  </a:graphic>
                </wp:inline>
              </w:drawing>
            </w:r>
          </w:p>
        </w:tc>
      </w:tr>
      <w:tr>
        <w:trPr>
          <w:trHeight w:hRule="exact" w:val="2823"/>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2</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умерших женщин в возрасте 16-54 лет * 100000/ Среднегодовая численность женщин в возрасте 16-54 лет</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№1-У «Сведения об умерших»</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ОРГАН ФЕДЕРАЛЬНОЙ СЛУЖБЫ ГОСУДАРСТВЕННОЙ СТАТИСТИКИ ПО РЕСПУБЛИКЕ МОРДОВИЯ</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r>
        <w:trPr>
          <w:trHeight w:hRule="exact" w:val="430"/>
        </w:trPr>
        <w:tc>
          <w:tcPr>
            <w:tcW w:w="15618" w:type="dxa"/>
            <w:gridSpan w:val="40"/>
            <w:tcMar>
              <w:top w:w="72" w:type="dxa"/>
              <w:left w:w="72" w:type="dxa"/>
              <w:right w:w="72" w:type="dxa"/>
            </w:tcMar>
            <w:vAlign w:val="center"/>
            <w:tcBorders>
              <w:top w:val="single" w:sz="5" w:space="0" w:color="000000"/>
              <w:left w:val="single" w:sz="5" w:space="0" w:color="000000"/>
              <w:bottom w:val="single" w:sz="5" w:space="0" w:color="000000"/>
              <w:right w:val="single" w:sz="5" w:space="0" w:color="000000"/>
            </w:tcBorders>
            <w:shd w:val="clear" w:color="auto" w:fill="auto"/>
          </w:tcPr>
          <w:p>
            <w:pPr>
              <w:spacing w:line="230"/>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Смертность мужчин в возрасте  16-59 лет  кг/м2</w:t>
            </w:r>
          </w:p>
        </w:tc>
      </w:tr>
      <w:tr>
        <w:trPr>
          <w:trHeight w:hRule="exact" w:val="1003"/>
        </w:trPr>
        <w:tc>
          <w:tcPr>
            <w:tcW w:w="15618" w:type="dxa"/>
            <w:gridSpan w:val="40"/>
            <w:vAlign w:val="center"/>
            <w:tcBorders>
              <w:top w:val="single" w:sz="5" w:space="0" w:color="000000"/>
              <w:left w:val="single" w:sz="5" w:space="0" w:color="000000"/>
              <w:right w:val="single" w:sz="5" w:space="0" w:color="000000"/>
            </w:tcBorders>
          </w:tcPr>
          <w:p>
            <w:pPr>
              <w:jc w:val="center"/>
            </w:pPr>
            <w:r>
              <w:rPr>
                <w:noProof/>
              </w:rPr>
              <w:drawing>
                <wp:inline distT="0" distB="0" distL="0" distR="0">
                  <wp:extent cx="9967266" cy="640106"/>
                  <wp:effectExtent l="0" t="0" r="0" b="0"/>
                  <wp:docPr id="4" name="Picture 3" descr="Image000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003.jpeg"/>
                          <pic:cNvPicPr/>
                        </pic:nvPicPr>
                        <pic:blipFill>
                          <a:blip r:embed="rId7" cstate="print"/>
                          <a:stretch>
                            <a:fillRect/>
                          </a:stretch>
                        </pic:blipFill>
                        <pic:spPr>
                          <a:xfrm>
                            <a:off x="0" y="0"/>
                            <a:ext cx="9967266" cy="640106"/>
                          </a:xfrm>
                          <a:prstGeom prst="rect">
                            <a:avLst/>
                          </a:prstGeom>
                        </pic:spPr>
                      </pic:pic>
                    </a:graphicData>
                  </a:graphic>
                </wp:inline>
              </w:drawing>
            </w:r>
          </w:p>
        </w:tc>
      </w:tr>
      <w:tr>
        <w:trPr>
          <w:trHeight w:hRule="exact" w:val="2822"/>
        </w:trPr>
        <w:tc>
          <w:tcPr>
            <w:tcW w:w="430" w:type="dxa"/>
            <w:gridSpan w:val="2"/>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3</w:t>
            </w:r>
          </w:p>
        </w:tc>
        <w:tc>
          <w:tcPr>
            <w:tcW w:w="2722"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Число умерших мужчин в возрасте 16-59 лет * 100000/ Среднегодовая численность мужчин в возрасте 16-59 лет</w:t>
            </w:r>
          </w:p>
        </w:tc>
        <w:tc>
          <w:tcPr>
            <w:tcW w:w="2436" w:type="dxa"/>
            <w:gridSpan w:val="4"/>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both"/>
              <w:rPr>
                <w:rFonts w:ascii="Times New Roman" w:hAnsi="Times New Roman" w:eastAsia="Times New Roman" w:cs="Times New Roman"/>
                <w:color w:val="000000"/>
                <w:sz w:val="24"/>
                <w:spacing w:val="-2"/>
              </w:rPr>
            </w:pPr>
          </w:p>
        </w:tc>
        <w:tc>
          <w:tcPr>
            <w:tcW w:w="1289" w:type="dxa"/>
            <w:gridSpan w:val="3"/>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Форма №1-У «Сведения об умерших»</w:t>
            </w:r>
          </w:p>
        </w:tc>
        <w:tc>
          <w:tcPr>
            <w:tcW w:w="2150" w:type="dxa"/>
            <w:gridSpan w:val="7"/>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ТЕРРИТОРИАЛЬНЫЙ ОРГАН ФЕДЕРАЛЬНОЙ СЛУЖБЫ ГОСУДАРСТВЕННОЙ СТАТИСТИКИ ПО РЕСПУБЛИКЕ МОРДОВИЯ</w:t>
            </w:r>
          </w:p>
        </w:tc>
        <w:tc>
          <w:tcPr>
            <w:tcW w:w="1576" w:type="dxa"/>
            <w:gridSpan w:val="5"/>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Муниципальные образования субъектов РФ</w:t>
            </w:r>
          </w:p>
        </w:tc>
        <w:tc>
          <w:tcPr>
            <w:tcW w:w="1719" w:type="dxa"/>
            <w:gridSpan w:val="6"/>
            <w:tcMar>
              <w:top w:w="72" w:type="dxa"/>
              <w:left w:w="72" w:type="dxa"/>
              <w:right w:w="72" w:type="dxa"/>
            </w:tcMar>
            <w:tcBorders>
              <w:top w:val="single" w:sz="5" w:space="0" w:color="000000"/>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Один раз в год, показатель на дату</w:t>
            </w:r>
          </w:p>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Ежегодно</w:t>
            </w:r>
          </w:p>
        </w:tc>
        <w:tc>
          <w:tcPr>
            <w:tcW w:w="3296" w:type="dxa"/>
            <w:gridSpan w:val="8"/>
            <w:tcMar>
              <w:top w:w="72" w:type="dxa"/>
              <w:left w:w="72" w:type="dxa"/>
              <w:right w:w="72" w:type="dxa"/>
            </w:tcMar>
            <w:tcBorders>
              <w:left w:val="single" w:sz="5" w:space="0" w:color="000000"/>
              <w:bottom w:val="single" w:sz="5" w:space="0" w:color="000000"/>
              <w:right w:val="single" w:sz="5" w:space="0" w:color="000000"/>
            </w:tcBorders>
            <w:shd w:val="clear" w:color="auto" w:fill="auto"/>
          </w:tcPr>
          <w:p>
            <w:pPr>
              <w:spacing w:line="230"/>
              <w:jc w:val="center"/>
              <w:rPr>
                <w:rFonts w:ascii="Times New Roman" w:hAnsi="Times New Roman" w:eastAsia="Times New Roman" w:cs="Times New Roman"/>
                <w:color w:val="000000"/>
                <w:sz w:val="24"/>
                <w:spacing w:val="-2"/>
              </w:rPr>
            </w:pPr>
            <w:r>
              <w:rPr>
                <w:rFonts w:ascii="Times New Roman" w:hAnsi="Times New Roman" w:eastAsia="Times New Roman" w:cs="Times New Roman"/>
                <w:color w:val="000000"/>
                <w:sz w:val="24"/>
                <w:spacing w:val="-2"/>
              </w:rPr>
              <w:t xml:space="preserve">Относительный показатель</w:t>
            </w:r>
          </w:p>
        </w:tc>
      </w:tr>
    </w:tbl>
    <w:sectPr>
      <w:pgSz w:w="16834" w:h="13349" w:orient="landscape"/>
      <w:pgMar w:top="1134" w:right="576" w:bottom="526" w:left="576" w:header="1134" w:footer="526" w:gutter="0"/>
    </w:sectPr>
  </w:body>
</w:document>
</file>

<file path=word/fontTable.xml><?xml version="1.0" encoding="utf-8"?>
<w:fonts xmlns:r="http://schemas.openxmlformats.org/officeDocument/2006/relationships" xmlns:w="http://schemas.openxmlformats.org/wordprocessingml/2006/main">
  <w:font w:name="Times New Roman"/>
  <w:font w:name="Calibri"/>
  <w:font w:name="Cambria"/>
  <w:font w:name="Arial"/>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compatSetting w:name="compatibilityMode" w:uri="http://schemas.microsoft.com/office/word" w:val="15"/>
  </w:compat>
  <m:mathPr>
    <m:mathFont m:val="Cambria Math"/>
    <m:brkBin m:val="before"/>
    <m:brkBinSub m:val="--"/>
    <m:smallFrac m:val="off"/>
    <m:dispDef/>
    <m:lMargin m:val="0"/>
    <m:rMargin m:val="0"/>
    <m:defJc m:val="centerGroup"/>
    <m:wrapIndent m:val="1440"/>
    <m:intLim m:val="subSup"/>
    <m:naryLim m:val="undOvr"/>
  </m:mathPr>
  <w:themeFontLang w:val="en-E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style w:type="paragraph" w:default="1" w:styleId="a">
    <w:name w:val="Normal"/>
    <w:qFormat/>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0" w:type="dxa"/>
        <w:bottom w:w="0" w:type="dxa"/>
        <w:right w:w="0"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00001.jpeg" /><Relationship Id="rId6" Type="http://schemas.openxmlformats.org/officeDocument/2006/relationships/image" Target="media/image00002.jpeg" /><Relationship Id="rId7" Type="http://schemas.openxmlformats.org/officeDocument/2006/relationships/image" Target="media/image00003.jpeg" /></Relationships>
</file>

<file path=docProps/app.xml><?xml version="1.0" encoding="utf-8"?>
<Properties xmlns="http://schemas.openxmlformats.org/officeDocument/2006/extended-properties" xmlns:vt="http://schemas.openxmlformats.org/officeDocument/2006/docPropsVTypes">
  <Application>Microsoft Office Word</Application>
  <Company>Stimulsoft Reports 2019.3.4 from 5 August 2019</Company>
  <Template>Normal.dotm</Template>
  <TotalTime>0</TotalTime>
  <Pages>1</Pages>
  <Words>1</Words>
  <Characters>1</Characters>
  <DocSecurity>0</DocSecurity>
  <Lines>1</Lines>
  <Paragraphs>1</Paragraphs>
  <ScaleCrop>false</ScaleCrop>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RP_Ukreplenie_obshhestvennogo_zdorov'ya_(Respublika_Mordoviya)</dc:title>
  <dc:subject>RP_Ukreplenie_obshhestvennogo_zdorov'ya_(Respublika_Mordoviya)</dc:subject>
  <dc:creator/>
  <cp:keywords/>
  <dc:description/>
  <cp:lastModifiedBy>Stimulsoft Reports 2019.3.4 from 5 August 2019</cp:lastModifiedBy>
  <cp:revision>1</cp:revision>
  <dcterms:created xsi:type="dcterms:W3CDTF">2020-07-14T09:32:24Z</dcterms:created>
  <dcterms:modified xsi:type="dcterms:W3CDTF">2020-07-14T09:32:24Z</dcterms:modified>
</cp:coreProperties>
</file>